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541C" w14:textId="44A34FA2" w:rsidR="00A355A9" w:rsidRPr="00A355A9" w:rsidRDefault="00A355A9" w:rsidP="00A355A9">
      <w:pPr>
        <w:shd w:val="clear" w:color="auto" w:fill="FFFFFF"/>
        <w:spacing w:after="0" w:line="240" w:lineRule="auto"/>
        <w:outlineLvl w:val="0"/>
        <w:rPr>
          <w:rFonts w:asciiTheme="majorHAnsi" w:eastAsia="Times New Roman" w:hAnsiTheme="majorHAnsi" w:cstheme="majorHAnsi"/>
          <w:b/>
          <w:bCs/>
          <w:color w:val="333333"/>
          <w:kern w:val="36"/>
          <w:sz w:val="26"/>
          <w:szCs w:val="26"/>
          <w:lang w:val="en-US" w:eastAsia="vi-VN"/>
        </w:rPr>
      </w:pPr>
      <w:r>
        <w:rPr>
          <w:rFonts w:asciiTheme="majorHAnsi" w:eastAsia="Times New Roman" w:hAnsiTheme="majorHAnsi" w:cstheme="majorHAnsi"/>
          <w:b/>
          <w:bCs/>
          <w:color w:val="333333"/>
          <w:kern w:val="36"/>
          <w:sz w:val="26"/>
          <w:szCs w:val="26"/>
          <w:lang w:val="en-US" w:eastAsia="vi-VN"/>
        </w:rPr>
        <w:t>TIÊU ĐỀ : TUYÊN TRUYỀN CÁC LUẬT TRONG THÁNG 10</w:t>
      </w:r>
    </w:p>
    <w:p w14:paraId="016B22CA" w14:textId="77777777" w:rsidR="00A355A9" w:rsidRDefault="00A355A9" w:rsidP="00A355A9">
      <w:pPr>
        <w:shd w:val="clear" w:color="auto" w:fill="FFFFFF"/>
        <w:spacing w:after="0" w:line="240" w:lineRule="auto"/>
        <w:jc w:val="center"/>
        <w:outlineLvl w:val="0"/>
        <w:rPr>
          <w:rFonts w:asciiTheme="majorHAnsi" w:eastAsia="Times New Roman" w:hAnsiTheme="majorHAnsi" w:cstheme="majorHAnsi"/>
          <w:b/>
          <w:bCs/>
          <w:color w:val="333333"/>
          <w:kern w:val="36"/>
          <w:sz w:val="26"/>
          <w:szCs w:val="26"/>
          <w:lang w:eastAsia="vi-VN"/>
        </w:rPr>
      </w:pPr>
    </w:p>
    <w:p w14:paraId="53DA87EB" w14:textId="64829A6D" w:rsidR="00A355A9" w:rsidRPr="000F7BFB" w:rsidRDefault="00A355A9" w:rsidP="00A355A9">
      <w:pPr>
        <w:shd w:val="clear" w:color="auto" w:fill="FFFFFF"/>
        <w:spacing w:after="0" w:line="240" w:lineRule="auto"/>
        <w:jc w:val="center"/>
        <w:outlineLvl w:val="0"/>
        <w:rPr>
          <w:rFonts w:asciiTheme="majorHAnsi" w:eastAsia="Times New Roman" w:hAnsiTheme="majorHAnsi" w:cstheme="majorHAnsi"/>
          <w:b/>
          <w:bCs/>
          <w:color w:val="333333"/>
          <w:kern w:val="36"/>
          <w:sz w:val="26"/>
          <w:szCs w:val="26"/>
          <w:lang w:eastAsia="vi-VN"/>
        </w:rPr>
      </w:pPr>
      <w:r w:rsidRPr="000F7BFB">
        <w:rPr>
          <w:rFonts w:asciiTheme="majorHAnsi" w:eastAsia="Times New Roman" w:hAnsiTheme="majorHAnsi" w:cstheme="majorHAnsi"/>
          <w:b/>
          <w:bCs/>
          <w:color w:val="333333"/>
          <w:kern w:val="36"/>
          <w:sz w:val="26"/>
          <w:szCs w:val="26"/>
          <w:lang w:eastAsia="vi-VN"/>
        </w:rPr>
        <w:t>LUẬT KHIẾU NẠI</w:t>
      </w:r>
    </w:p>
    <w:p w14:paraId="019D2BA6" w14:textId="77777777" w:rsidR="00A355A9" w:rsidRPr="000F7BFB" w:rsidRDefault="00A355A9" w:rsidP="00A355A9">
      <w:pPr>
        <w:shd w:val="clear" w:color="auto" w:fill="FFFFFF"/>
        <w:spacing w:after="0" w:line="240" w:lineRule="auto"/>
        <w:ind w:firstLine="709"/>
        <w:jc w:val="both"/>
        <w:rPr>
          <w:rFonts w:asciiTheme="majorHAnsi" w:eastAsia="Times New Roman" w:hAnsiTheme="majorHAnsi" w:cstheme="majorHAnsi"/>
          <w:color w:val="333333"/>
          <w:sz w:val="26"/>
          <w:szCs w:val="26"/>
          <w:lang w:eastAsia="vi-VN"/>
        </w:rPr>
      </w:pPr>
      <w:r w:rsidRPr="000F7BFB">
        <w:rPr>
          <w:rFonts w:asciiTheme="majorHAnsi" w:eastAsia="Times New Roman" w:hAnsiTheme="majorHAnsi" w:cstheme="majorHAnsi"/>
          <w:color w:val="333333"/>
          <w:sz w:val="26"/>
          <w:szCs w:val="26"/>
          <w:lang w:val="nl-NL" w:eastAsia="vi-VN"/>
        </w:rPr>
        <w:t>Ngày 11/11/2011, tại kỳ họp thứ 2, Quốc hội nước Cộng hoà xã hội chủ nghĩa Việt Nam, khoá XIII đã thông qua </w:t>
      </w:r>
      <w:r w:rsidRPr="000F7BFB">
        <w:rPr>
          <w:rFonts w:asciiTheme="majorHAnsi" w:eastAsia="Times New Roman" w:hAnsiTheme="majorHAnsi" w:cstheme="majorHAnsi"/>
          <w:b/>
          <w:bCs/>
          <w:color w:val="333333"/>
          <w:sz w:val="26"/>
          <w:szCs w:val="26"/>
          <w:lang w:val="nl-NL" w:eastAsia="vi-VN"/>
        </w:rPr>
        <w:t>Luật Khiếu nại</w:t>
      </w:r>
      <w:r w:rsidRPr="000F7BFB">
        <w:rPr>
          <w:rFonts w:asciiTheme="majorHAnsi" w:eastAsia="Times New Roman" w:hAnsiTheme="majorHAnsi" w:cstheme="majorHAnsi"/>
          <w:color w:val="333333"/>
          <w:sz w:val="26"/>
          <w:szCs w:val="26"/>
          <w:lang w:val="nl-NL" w:eastAsia="vi-VN"/>
        </w:rPr>
        <w:t>. Luật Khiếu nại </w:t>
      </w:r>
      <w:r w:rsidRPr="000F7BFB">
        <w:rPr>
          <w:rFonts w:asciiTheme="majorHAnsi" w:eastAsia="Times New Roman" w:hAnsiTheme="majorHAnsi" w:cstheme="majorHAnsi"/>
          <w:color w:val="333333"/>
          <w:sz w:val="26"/>
          <w:szCs w:val="26"/>
          <w:lang w:val="de-DE" w:eastAsia="vi-VN"/>
        </w:rPr>
        <w:t>gồm 8 Chương 70 Điều,</w:t>
      </w:r>
      <w:r w:rsidRPr="000F7BFB">
        <w:rPr>
          <w:rFonts w:asciiTheme="majorHAnsi" w:eastAsia="Times New Roman" w:hAnsiTheme="majorHAnsi" w:cstheme="majorHAnsi"/>
          <w:color w:val="333333"/>
          <w:sz w:val="26"/>
          <w:szCs w:val="26"/>
          <w:lang w:val="nl-NL" w:eastAsia="vi-VN"/>
        </w:rPr>
        <w:t> có hiệu lực từ ngày 01/7/2012.</w:t>
      </w:r>
    </w:p>
    <w:p w14:paraId="1DCB8102" w14:textId="77777777" w:rsidR="00A355A9" w:rsidRPr="009C01D4" w:rsidRDefault="00A355A9" w:rsidP="00A355A9">
      <w:pPr>
        <w:shd w:val="clear" w:color="auto" w:fill="FFFFFF"/>
        <w:spacing w:after="0" w:line="240" w:lineRule="auto"/>
        <w:jc w:val="center"/>
        <w:outlineLvl w:val="0"/>
        <w:rPr>
          <w:rFonts w:asciiTheme="majorHAnsi" w:eastAsia="Times New Roman" w:hAnsiTheme="majorHAnsi" w:cstheme="majorHAnsi"/>
          <w:b/>
          <w:bCs/>
          <w:color w:val="333333"/>
          <w:kern w:val="36"/>
          <w:sz w:val="26"/>
          <w:szCs w:val="26"/>
          <w:lang w:eastAsia="vi-VN"/>
        </w:rPr>
      </w:pPr>
      <w:r w:rsidRPr="009C01D4">
        <w:rPr>
          <w:rFonts w:asciiTheme="majorHAnsi" w:eastAsia="Times New Roman" w:hAnsiTheme="majorHAnsi" w:cstheme="majorHAnsi"/>
          <w:b/>
          <w:bCs/>
          <w:color w:val="333333"/>
          <w:kern w:val="36"/>
          <w:sz w:val="26"/>
          <w:szCs w:val="26"/>
          <w:lang w:eastAsia="vi-VN"/>
        </w:rPr>
        <w:t>LUẬT TỐ CÁO</w:t>
      </w:r>
    </w:p>
    <w:p w14:paraId="2320ECB7" w14:textId="77777777" w:rsidR="00A355A9" w:rsidRPr="009C01D4" w:rsidRDefault="00A355A9" w:rsidP="00A355A9">
      <w:pPr>
        <w:shd w:val="clear" w:color="auto" w:fill="FFFFFF"/>
        <w:spacing w:after="0" w:line="240" w:lineRule="auto"/>
        <w:ind w:firstLine="709"/>
        <w:jc w:val="both"/>
        <w:rPr>
          <w:rFonts w:asciiTheme="majorHAnsi" w:eastAsia="Times New Roman" w:hAnsiTheme="majorHAnsi" w:cstheme="majorHAnsi"/>
          <w:color w:val="333333"/>
          <w:sz w:val="26"/>
          <w:szCs w:val="26"/>
          <w:lang w:eastAsia="vi-VN"/>
        </w:rPr>
      </w:pPr>
      <w:r w:rsidRPr="009C01D4">
        <w:rPr>
          <w:rFonts w:asciiTheme="majorHAnsi" w:eastAsia="Times New Roman" w:hAnsiTheme="majorHAnsi" w:cstheme="majorHAnsi"/>
          <w:color w:val="333333"/>
          <w:sz w:val="26"/>
          <w:szCs w:val="26"/>
          <w:lang w:eastAsia="vi-VN"/>
        </w:rPr>
        <w:t>Ngày 11 tháng 11 năm 2011, tại kỳ họp thứ 2, Quốc hội nước Cộng hoà xã hội chủ nghĩa Việt Nam khoá, XIII đã thông qua </w:t>
      </w:r>
      <w:r w:rsidRPr="009C01D4">
        <w:rPr>
          <w:rFonts w:asciiTheme="majorHAnsi" w:eastAsia="Times New Roman" w:hAnsiTheme="majorHAnsi" w:cstheme="majorHAnsi"/>
          <w:b/>
          <w:bCs/>
          <w:color w:val="333333"/>
          <w:sz w:val="26"/>
          <w:szCs w:val="26"/>
          <w:lang w:eastAsia="vi-VN"/>
        </w:rPr>
        <w:t>Luật Tố cáo</w:t>
      </w:r>
      <w:r w:rsidRPr="009C01D4">
        <w:rPr>
          <w:rFonts w:asciiTheme="majorHAnsi" w:eastAsia="Times New Roman" w:hAnsiTheme="majorHAnsi" w:cstheme="majorHAnsi"/>
          <w:color w:val="333333"/>
          <w:sz w:val="26"/>
          <w:szCs w:val="26"/>
          <w:lang w:eastAsia="vi-VN"/>
        </w:rPr>
        <w:t>. Luật gồm 8 Chương 50 Điều, có hiệu lực thi hành từ ngày 01/7/2012.</w:t>
      </w:r>
    </w:p>
    <w:p w14:paraId="4D6FE2A1" w14:textId="2E5EDCAC" w:rsidR="00826580" w:rsidRDefault="00826580"/>
    <w:p w14:paraId="467DB835" w14:textId="77777777" w:rsidR="00A355A9" w:rsidRPr="00BF5A8F" w:rsidRDefault="00A355A9" w:rsidP="00A355A9">
      <w:pPr>
        <w:shd w:val="clear" w:color="auto" w:fill="FFFFFF"/>
        <w:spacing w:before="150" w:after="150" w:line="360" w:lineRule="atLeast"/>
        <w:jc w:val="center"/>
        <w:outlineLvl w:val="0"/>
        <w:rPr>
          <w:rFonts w:asciiTheme="majorHAnsi" w:eastAsia="Times New Roman" w:hAnsiTheme="majorHAnsi" w:cstheme="majorHAnsi"/>
          <w:b/>
          <w:bCs/>
          <w:color w:val="333333"/>
          <w:kern w:val="36"/>
          <w:sz w:val="28"/>
          <w:szCs w:val="28"/>
          <w:lang w:eastAsia="vi-VN"/>
        </w:rPr>
      </w:pPr>
      <w:r w:rsidRPr="00BF5A8F">
        <w:rPr>
          <w:rFonts w:asciiTheme="majorHAnsi" w:eastAsia="Times New Roman" w:hAnsiTheme="majorHAnsi" w:cstheme="majorHAnsi"/>
          <w:b/>
          <w:bCs/>
          <w:color w:val="333333"/>
          <w:kern w:val="36"/>
          <w:sz w:val="28"/>
          <w:szCs w:val="28"/>
          <w:lang w:eastAsia="vi-VN"/>
        </w:rPr>
        <w:t>LUẬT TIẾP CÔNG DÂN</w:t>
      </w:r>
    </w:p>
    <w:p w14:paraId="60109F58" w14:textId="77777777" w:rsidR="00A355A9" w:rsidRPr="00BF5A8F" w:rsidRDefault="00A355A9" w:rsidP="00A355A9">
      <w:pPr>
        <w:shd w:val="clear" w:color="auto" w:fill="FFFFFF"/>
        <w:spacing w:after="150" w:line="240" w:lineRule="auto"/>
        <w:ind w:firstLine="709"/>
        <w:jc w:val="both"/>
        <w:rPr>
          <w:rFonts w:asciiTheme="majorHAnsi" w:eastAsia="Times New Roman" w:hAnsiTheme="majorHAnsi" w:cstheme="majorHAnsi"/>
          <w:color w:val="333333"/>
          <w:sz w:val="26"/>
          <w:szCs w:val="26"/>
          <w:lang w:eastAsia="vi-VN"/>
        </w:rPr>
      </w:pPr>
      <w:r w:rsidRPr="00BF5A8F">
        <w:rPr>
          <w:rFonts w:asciiTheme="majorHAnsi" w:eastAsia="Times New Roman" w:hAnsiTheme="majorHAnsi" w:cstheme="majorHAnsi"/>
          <w:color w:val="333333"/>
          <w:sz w:val="26"/>
          <w:szCs w:val="26"/>
          <w:lang w:eastAsia="vi-VN"/>
        </w:rPr>
        <w:t>Ngày 25/11/2013, Quốc hội nước Cộng hòa xã hội chủ nghĩa Việt Nam đã thông qua Luật Tiếp công dân, Luật có hiệu lực thi hành từ ngày 01/7/2014.</w:t>
      </w:r>
    </w:p>
    <w:p w14:paraId="2CC4BDFD" w14:textId="77777777" w:rsidR="00A355A9" w:rsidRPr="00A355A9" w:rsidRDefault="00A355A9" w:rsidP="00A355A9">
      <w:pPr>
        <w:pStyle w:val="n-dieund-p"/>
        <w:spacing w:before="90" w:beforeAutospacing="0" w:after="90" w:afterAutospacing="0"/>
        <w:jc w:val="center"/>
        <w:rPr>
          <w:rFonts w:asciiTheme="majorHAnsi" w:hAnsiTheme="majorHAnsi" w:cstheme="majorHAnsi"/>
          <w:b/>
          <w:bCs/>
          <w:color w:val="000000"/>
          <w:sz w:val="26"/>
          <w:szCs w:val="26"/>
        </w:rPr>
      </w:pPr>
      <w:r w:rsidRPr="00A355A9">
        <w:rPr>
          <w:rFonts w:asciiTheme="majorHAnsi" w:hAnsiTheme="majorHAnsi" w:cstheme="majorHAnsi"/>
          <w:b/>
          <w:bCs/>
          <w:color w:val="000000"/>
          <w:sz w:val="26"/>
          <w:szCs w:val="26"/>
        </w:rPr>
        <w:t>LUẬT BÌNH ĐẲNG GIỚI</w:t>
      </w:r>
    </w:p>
    <w:p w14:paraId="6CEFE60B" w14:textId="347FCC9A" w:rsidR="00A355A9" w:rsidRPr="00A355A9" w:rsidRDefault="00A355A9" w:rsidP="00A355A9">
      <w:pPr>
        <w:pStyle w:val="n-dieund-p"/>
        <w:spacing w:before="90" w:beforeAutospacing="0" w:after="90" w:afterAutospacing="0"/>
        <w:jc w:val="both"/>
        <w:rPr>
          <w:rFonts w:asciiTheme="majorHAnsi" w:hAnsiTheme="majorHAnsi" w:cstheme="majorHAnsi"/>
          <w:color w:val="000000"/>
          <w:sz w:val="26"/>
          <w:szCs w:val="26"/>
        </w:rPr>
      </w:pPr>
      <w:r w:rsidRPr="00A355A9">
        <w:rPr>
          <w:rFonts w:asciiTheme="majorHAnsi" w:hAnsiTheme="majorHAnsi" w:cstheme="majorHAnsi"/>
          <w:color w:val="000000"/>
          <w:sz w:val="26"/>
          <w:szCs w:val="26"/>
        </w:rPr>
        <w:t>Luật bình đẳng giới của quốc hội khóa xi, kỳ họp thứ 10 .Số 73/2006/qh11 ngày 29 tháng 11 năm 2006</w:t>
      </w:r>
    </w:p>
    <w:p w14:paraId="542BC71E" w14:textId="77777777" w:rsidR="00A355A9" w:rsidRPr="006F2E24" w:rsidRDefault="00A355A9" w:rsidP="00A355A9">
      <w:pPr>
        <w:spacing w:before="90" w:after="90" w:line="240" w:lineRule="auto"/>
        <w:jc w:val="center"/>
        <w:rPr>
          <w:rFonts w:asciiTheme="majorHAnsi" w:eastAsia="Times New Roman" w:hAnsiTheme="majorHAnsi" w:cstheme="majorHAnsi"/>
          <w:color w:val="000000"/>
          <w:sz w:val="26"/>
          <w:szCs w:val="26"/>
          <w:lang w:eastAsia="vi-VN"/>
        </w:rPr>
      </w:pPr>
      <w:r w:rsidRPr="006F2E24">
        <w:rPr>
          <w:rFonts w:asciiTheme="majorHAnsi" w:eastAsia="Times New Roman" w:hAnsiTheme="majorHAnsi" w:cstheme="majorHAnsi"/>
          <w:b/>
          <w:bCs/>
          <w:color w:val="000000"/>
          <w:sz w:val="26"/>
          <w:szCs w:val="26"/>
          <w:lang w:val="pt-BR" w:eastAsia="vi-VN"/>
        </w:rPr>
        <w:t>LUẬT</w:t>
      </w:r>
      <w:r>
        <w:rPr>
          <w:rFonts w:asciiTheme="majorHAnsi" w:eastAsia="Times New Roman" w:hAnsiTheme="majorHAnsi" w:cstheme="majorHAnsi"/>
          <w:b/>
          <w:bCs/>
          <w:color w:val="000000"/>
          <w:sz w:val="26"/>
          <w:szCs w:val="26"/>
          <w:lang w:val="pt-BR" w:eastAsia="vi-VN"/>
        </w:rPr>
        <w:t xml:space="preserve"> </w:t>
      </w:r>
      <w:r w:rsidRPr="006F2E24">
        <w:rPr>
          <w:rFonts w:asciiTheme="majorHAnsi" w:eastAsia="Times New Roman" w:hAnsiTheme="majorHAnsi" w:cstheme="majorHAnsi"/>
          <w:b/>
          <w:bCs/>
          <w:color w:val="000000"/>
          <w:sz w:val="26"/>
          <w:szCs w:val="26"/>
          <w:lang w:val="pt-BR" w:eastAsia="vi-VN"/>
        </w:rPr>
        <w:t>CÔNG ĐOÀN</w:t>
      </w:r>
    </w:p>
    <w:p w14:paraId="2E829DD2" w14:textId="0D684981" w:rsidR="00A355A9" w:rsidRPr="00A355A9" w:rsidRDefault="00A355A9" w:rsidP="00A355A9">
      <w:pPr>
        <w:spacing w:before="100" w:beforeAutospacing="1" w:after="100" w:afterAutospacing="1" w:line="240" w:lineRule="auto"/>
        <w:jc w:val="both"/>
        <w:outlineLvl w:val="0"/>
        <w:rPr>
          <w:rFonts w:asciiTheme="majorHAnsi" w:eastAsia="Times New Roman" w:hAnsiTheme="majorHAnsi" w:cstheme="majorHAnsi"/>
          <w:b/>
          <w:bCs/>
          <w:color w:val="000000"/>
          <w:kern w:val="36"/>
          <w:sz w:val="26"/>
          <w:szCs w:val="26"/>
          <w:lang w:eastAsia="vi-VN"/>
        </w:rPr>
      </w:pPr>
      <w:r w:rsidRPr="00A355A9">
        <w:rPr>
          <w:rFonts w:asciiTheme="majorHAnsi" w:eastAsia="Times New Roman" w:hAnsiTheme="majorHAnsi" w:cstheme="majorHAnsi"/>
          <w:b/>
          <w:bCs/>
          <w:color w:val="000000"/>
          <w:kern w:val="36"/>
          <w:sz w:val="26"/>
          <w:szCs w:val="26"/>
          <w:lang w:eastAsia="vi-VN"/>
        </w:rPr>
        <w:t xml:space="preserve">Luật số 12/2012/QH13 của Quốc hội : </w:t>
      </w:r>
    </w:p>
    <w:p w14:paraId="63ED458C" w14:textId="3F51DC9A" w:rsidR="00A355A9" w:rsidRDefault="00A355A9" w:rsidP="00A355A9">
      <w:pPr>
        <w:rPr>
          <w:rFonts w:asciiTheme="majorHAnsi" w:eastAsia="Times New Roman" w:hAnsiTheme="majorHAnsi" w:cstheme="majorHAnsi"/>
          <w:color w:val="000000"/>
          <w:sz w:val="26"/>
          <w:szCs w:val="26"/>
          <w:lang w:val="it-IT" w:eastAsia="vi-VN"/>
        </w:rPr>
      </w:pPr>
      <w:r w:rsidRPr="006F2E24">
        <w:rPr>
          <w:rFonts w:asciiTheme="majorHAnsi" w:eastAsia="Times New Roman" w:hAnsiTheme="majorHAnsi" w:cstheme="majorHAnsi"/>
          <w:color w:val="000000"/>
          <w:sz w:val="26"/>
          <w:szCs w:val="26"/>
          <w:lang w:val="it-IT" w:eastAsia="vi-VN"/>
        </w:rPr>
        <w:t>Luật này quy định về quyền thành lập, gia nhập và hoạt động công đoàn của </w:t>
      </w:r>
      <w:r w:rsidRPr="006F2E24">
        <w:rPr>
          <w:rFonts w:asciiTheme="majorHAnsi" w:eastAsia="Times New Roman" w:hAnsiTheme="majorHAnsi" w:cstheme="majorHAnsi"/>
          <w:color w:val="000000"/>
          <w:sz w:val="26"/>
          <w:szCs w:val="26"/>
          <w:lang w:val="pt-BR" w:eastAsia="vi-VN"/>
        </w:rPr>
        <w:t>người lao động</w:t>
      </w:r>
      <w:r w:rsidRPr="006F2E24">
        <w:rPr>
          <w:rFonts w:asciiTheme="majorHAnsi" w:eastAsia="Times New Roman" w:hAnsiTheme="majorHAnsi" w:cstheme="majorHAnsi"/>
          <w:color w:val="000000"/>
          <w:sz w:val="26"/>
          <w:szCs w:val="26"/>
          <w:lang w:val="it-IT" w:eastAsia="vi-VN"/>
        </w:rPr>
        <w:t>; chức năng, quyền, trách nhiệm của Công đoàn; quyền, trách nhiệm của đoàn viên công đoàn; trách nhiệm của Nhà nước, cơ quan nhà nước, tổ chức, đơn vị, doanh nghiệp sử dụng lao động</w:t>
      </w:r>
      <w:r w:rsidRPr="006F2E24">
        <w:rPr>
          <w:rFonts w:asciiTheme="majorHAnsi" w:eastAsia="Times New Roman" w:hAnsiTheme="majorHAnsi" w:cstheme="majorHAnsi"/>
          <w:color w:val="000000"/>
          <w:sz w:val="26"/>
          <w:szCs w:val="26"/>
          <w:lang w:eastAsia="vi-VN"/>
        </w:rPr>
        <w:t> đối với Công đoàn</w:t>
      </w:r>
      <w:r w:rsidRPr="006F2E24">
        <w:rPr>
          <w:rFonts w:asciiTheme="majorHAnsi" w:eastAsia="Times New Roman" w:hAnsiTheme="majorHAnsi" w:cstheme="majorHAnsi"/>
          <w:color w:val="000000"/>
          <w:sz w:val="26"/>
          <w:szCs w:val="26"/>
          <w:lang w:val="it-IT" w:eastAsia="vi-VN"/>
        </w:rPr>
        <w:t>; bảo đảm hoạt động của Công đoàn; giải quyết tranh chấp và xử lý vi phạm </w:t>
      </w:r>
      <w:r w:rsidRPr="006F2E24">
        <w:rPr>
          <w:rFonts w:asciiTheme="majorHAnsi" w:eastAsia="Times New Roman" w:hAnsiTheme="majorHAnsi" w:cstheme="majorHAnsi"/>
          <w:color w:val="000000"/>
          <w:sz w:val="26"/>
          <w:szCs w:val="26"/>
          <w:lang w:eastAsia="vi-VN"/>
        </w:rPr>
        <w:t>pháp luật</w:t>
      </w:r>
      <w:r w:rsidRPr="006F2E24">
        <w:rPr>
          <w:rFonts w:asciiTheme="majorHAnsi" w:eastAsia="Times New Roman" w:hAnsiTheme="majorHAnsi" w:cstheme="majorHAnsi"/>
          <w:color w:val="000000"/>
          <w:sz w:val="26"/>
          <w:szCs w:val="26"/>
          <w:lang w:val="pt-BR" w:eastAsia="vi-VN"/>
        </w:rPr>
        <w:t> về </w:t>
      </w:r>
      <w:r w:rsidRPr="006F2E24">
        <w:rPr>
          <w:rFonts w:asciiTheme="majorHAnsi" w:eastAsia="Times New Roman" w:hAnsiTheme="majorHAnsi" w:cstheme="majorHAnsi"/>
          <w:color w:val="000000"/>
          <w:sz w:val="26"/>
          <w:szCs w:val="26"/>
          <w:lang w:val="it-IT" w:eastAsia="vi-VN"/>
        </w:rPr>
        <w:t>công đoàn</w:t>
      </w:r>
    </w:p>
    <w:p w14:paraId="7268117D" w14:textId="2D652E10" w:rsidR="002A2C04" w:rsidRPr="002A2C04" w:rsidRDefault="002A2C04" w:rsidP="002A2C04">
      <w:pPr>
        <w:jc w:val="center"/>
        <w:rPr>
          <w:rFonts w:asciiTheme="majorHAnsi" w:hAnsiTheme="majorHAnsi" w:cstheme="majorHAnsi"/>
          <w:b/>
          <w:bCs/>
          <w:color w:val="000000"/>
          <w:sz w:val="26"/>
          <w:szCs w:val="26"/>
          <w:lang w:val="it-IT"/>
        </w:rPr>
      </w:pPr>
      <w:r w:rsidRPr="002A2C04">
        <w:rPr>
          <w:rFonts w:asciiTheme="majorHAnsi" w:hAnsiTheme="majorHAnsi" w:cstheme="majorHAnsi"/>
          <w:b/>
          <w:bCs/>
          <w:color w:val="000000"/>
          <w:sz w:val="26"/>
          <w:szCs w:val="26"/>
          <w:lang w:val="it-IT"/>
        </w:rPr>
        <w:t>LUẬT BẢO VỆ CHĂM SÓC GIÁO DỤC TRẺ EM</w:t>
      </w:r>
    </w:p>
    <w:p w14:paraId="08447D0B" w14:textId="1DA4F0A2" w:rsidR="00A355A9" w:rsidRDefault="002A2C04">
      <w:pPr>
        <w:rPr>
          <w:rFonts w:asciiTheme="majorHAnsi" w:hAnsiTheme="majorHAnsi" w:cstheme="majorHAnsi"/>
          <w:color w:val="000000"/>
          <w:sz w:val="26"/>
          <w:szCs w:val="26"/>
        </w:rPr>
      </w:pPr>
      <w:r w:rsidRPr="002A2C04">
        <w:rPr>
          <w:rFonts w:asciiTheme="majorHAnsi" w:hAnsiTheme="majorHAnsi" w:cstheme="majorHAnsi"/>
          <w:color w:val="000000"/>
          <w:sz w:val="26"/>
          <w:szCs w:val="26"/>
        </w:rPr>
        <w:t>Luật này quy định các quyền cơ bản, bổn phận của trẻ em; trách nhiệm của gia đình, Nhà nước và xã hội trong việc bảo vệ, chăm sóc và giáo dục trẻ em.</w:t>
      </w:r>
    </w:p>
    <w:p w14:paraId="5BB04201" w14:textId="5870477F" w:rsidR="002A2C04" w:rsidRPr="000653F3" w:rsidRDefault="002A2C04" w:rsidP="000653F3">
      <w:pPr>
        <w:jc w:val="center"/>
        <w:rPr>
          <w:rFonts w:asciiTheme="majorHAnsi" w:hAnsiTheme="majorHAnsi" w:cstheme="majorHAnsi"/>
          <w:b/>
          <w:bCs/>
          <w:color w:val="000000"/>
          <w:sz w:val="26"/>
          <w:szCs w:val="26"/>
        </w:rPr>
      </w:pPr>
      <w:r w:rsidRPr="000653F3">
        <w:rPr>
          <w:rFonts w:asciiTheme="majorHAnsi" w:hAnsiTheme="majorHAnsi" w:cstheme="majorHAnsi"/>
          <w:b/>
          <w:bCs/>
          <w:color w:val="000000"/>
          <w:sz w:val="26"/>
          <w:szCs w:val="26"/>
        </w:rPr>
        <w:t>THÔNG TƯ SỐ 06</w:t>
      </w:r>
      <w:r w:rsidR="000653F3">
        <w:rPr>
          <w:rFonts w:asciiTheme="majorHAnsi" w:hAnsiTheme="majorHAnsi" w:cstheme="majorHAnsi"/>
          <w:b/>
          <w:bCs/>
          <w:color w:val="000000"/>
          <w:sz w:val="26"/>
          <w:szCs w:val="26"/>
          <w:lang w:val="en-US"/>
        </w:rPr>
        <w:t>/2019/TT-BGDĐT</w:t>
      </w:r>
      <w:r w:rsidR="000653F3" w:rsidRPr="000653F3">
        <w:rPr>
          <w:rFonts w:asciiTheme="majorHAnsi" w:hAnsiTheme="majorHAnsi" w:cstheme="majorHAnsi"/>
          <w:b/>
          <w:bCs/>
          <w:color w:val="000000"/>
          <w:sz w:val="26"/>
          <w:szCs w:val="26"/>
        </w:rPr>
        <w:t xml:space="preserve"> VỀ QUY TẮC ỨNG XỬ</w:t>
      </w:r>
    </w:p>
    <w:p w14:paraId="39FC8247" w14:textId="4154583C" w:rsidR="002A2C04" w:rsidRPr="002A2C04" w:rsidRDefault="002A2C04">
      <w:pPr>
        <w:rPr>
          <w:rFonts w:asciiTheme="majorHAnsi" w:hAnsiTheme="majorHAnsi" w:cstheme="majorHAnsi"/>
          <w:sz w:val="26"/>
          <w:szCs w:val="26"/>
        </w:rPr>
      </w:pPr>
      <w:r w:rsidRPr="002A2C04">
        <w:rPr>
          <w:rFonts w:asciiTheme="majorHAnsi" w:hAnsiTheme="majorHAnsi" w:cstheme="majorHAnsi"/>
          <w:color w:val="000000"/>
          <w:sz w:val="26"/>
          <w:szCs w:val="26"/>
          <w:shd w:val="clear" w:color="auto" w:fill="FFFFFF"/>
        </w:rPr>
        <w:t>T</w:t>
      </w:r>
      <w:r w:rsidRPr="002A2C04">
        <w:rPr>
          <w:rFonts w:asciiTheme="majorHAnsi" w:hAnsiTheme="majorHAnsi" w:cstheme="majorHAnsi"/>
          <w:color w:val="000000"/>
          <w:sz w:val="26"/>
          <w:szCs w:val="26"/>
          <w:shd w:val="clear" w:color="auto" w:fill="FFFFFF"/>
        </w:rPr>
        <w:t>hông tư này quy định quy tắc ứng xử trong cơ sở giáo dục mầm non, cơ sở giáo dục phổ thông, cơ sở giáo dục thường xuyên (sau đây gọi chung là cơ sở giáo dục).</w:t>
      </w:r>
    </w:p>
    <w:sectPr w:rsidR="002A2C04" w:rsidRPr="002A2C04" w:rsidSect="00582C57">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9"/>
    <w:rsid w:val="000653F3"/>
    <w:rsid w:val="002A2C04"/>
    <w:rsid w:val="00582C57"/>
    <w:rsid w:val="005B0EE1"/>
    <w:rsid w:val="00826580"/>
    <w:rsid w:val="009A0327"/>
    <w:rsid w:val="00A355A9"/>
    <w:rsid w:val="00C677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CC5F"/>
  <w15:chartTrackingRefBased/>
  <w15:docId w15:val="{97752EBC-2FD7-4AC7-96FB-53C8C4DB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55A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dieund-p">
    <w:name w:val="n-dieund-p"/>
    <w:basedOn w:val="Binhthng"/>
    <w:rsid w:val="00A355A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1343</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2021-10-04T07:54:00Z</dcterms:created>
  <dcterms:modified xsi:type="dcterms:W3CDTF">2021-10-04T08:06:00Z</dcterms:modified>
</cp:coreProperties>
</file>