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52450" w:rsidRPr="00152450" w:rsidTr="0015245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152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BỘ GIÁO DỤC VÀ ĐÀO TẠO</w:t>
            </w:r>
            <w:r w:rsidRPr="00152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--------------------</w:t>
            </w:r>
          </w:p>
        </w:tc>
      </w:tr>
      <w:bookmarkEnd w:id="0"/>
      <w:tr w:rsidR="00152450" w:rsidRPr="00152450" w:rsidTr="0015245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: 1362/BGDĐT-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TTr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V/v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tiếp</w:t>
            </w:r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tục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Chỉ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thị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6" w:tgtFrame="_blank" w:tooltip="10/CT-TTg" w:history="1">
              <w:r w:rsidRPr="00152450">
                <w:rPr>
                  <w:rFonts w:ascii="Times New Roman" w:eastAsia="Times New Roman" w:hAnsi="Times New Roman" w:cs="Times New Roman"/>
                  <w:i/>
                  <w:iCs/>
                  <w:color w:val="0E70C3"/>
                  <w:sz w:val="24"/>
                  <w:szCs w:val="24"/>
                </w:rPr>
                <w:t>10/CT-</w:t>
              </w:r>
              <w:proofErr w:type="spellStart"/>
              <w:r w:rsidRPr="00152450">
                <w:rPr>
                  <w:rFonts w:ascii="Times New Roman" w:eastAsia="Times New Roman" w:hAnsi="Times New Roman" w:cs="Times New Roman"/>
                  <w:i/>
                  <w:iCs/>
                  <w:color w:val="0E70C3"/>
                  <w:sz w:val="24"/>
                  <w:szCs w:val="24"/>
                </w:rPr>
                <w:t>TTg</w:t>
              </w:r>
              <w:proofErr w:type="spellEnd"/>
            </w:hyperlink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phòng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chống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tham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nhũng</w:t>
            </w:r>
            <w:proofErr w:type="spellEnd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10 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04 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2018</w:t>
            </w:r>
          </w:p>
        </w:tc>
      </w:tr>
    </w:tbl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468"/>
      </w:tblGrid>
      <w:tr w:rsidR="00152450" w:rsidRPr="00152450" w:rsidTr="00152450">
        <w:trPr>
          <w:tblCellSpacing w:w="0" w:type="dxa"/>
        </w:trPr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</w:tbl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12/3/2018,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(GDĐT) ban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7" w:tgtFrame="_blank" w:tooltip="Văn bản khác 103/KH-BGDĐT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103/KH-BGDĐT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2018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(PCTN)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dung PCTN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103).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103,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hyperlink r:id="rId8" w:tgtFrame="_blank" w:tooltip="Chỉ thị 10/CT-TTg" w:history="1">
        <w:r w:rsidRPr="00152450">
          <w:rPr>
            <w:rFonts w:ascii="Arial" w:eastAsia="Times New Roman" w:hAnsi="Arial" w:cs="Arial"/>
            <w:b/>
            <w:bCs/>
            <w:color w:val="0E70C3"/>
            <w:sz w:val="18"/>
            <w:szCs w:val="18"/>
          </w:rPr>
          <w:t>10/CT-</w:t>
        </w:r>
        <w:proofErr w:type="spellStart"/>
        <w:r w:rsidRPr="00152450">
          <w:rPr>
            <w:rFonts w:ascii="Arial" w:eastAsia="Times New Roman" w:hAnsi="Arial" w:cs="Arial"/>
            <w:b/>
            <w:bCs/>
            <w:color w:val="0E70C3"/>
            <w:sz w:val="18"/>
            <w:szCs w:val="18"/>
          </w:rPr>
          <w:t>TTg</w:t>
        </w:r>
        <w:proofErr w:type="spellEnd"/>
      </w:hyperlink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12/6/2013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tướng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đưa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PCTN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vào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từ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2013-2014 </w:t>
      </w:r>
      <w:r w:rsidRPr="00152450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10) </w:t>
      </w:r>
      <w:proofErr w:type="spellStart"/>
      <w:proofErr w:type="gram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9" w:tgtFrame="_blank" w:tooltip="Công văn 5571/BGDĐT-TTr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5571/BGDĐT-</w:t>
        </w:r>
        <w:proofErr w:type="spellStart"/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TTr</w:t>
        </w:r>
        <w:proofErr w:type="spellEnd"/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13/8/2013,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10;</w:t>
      </w:r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0" w:tgtFrame="_blank" w:tooltip="Công văn 4145/BGDĐT-TTr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4145/BGDĐT-</w:t>
        </w:r>
        <w:proofErr w:type="spellStart"/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TTr</w:t>
        </w:r>
        <w:proofErr w:type="spellEnd"/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24/8/2016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10;</w:t>
      </w:r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dung PCTN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THPT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8784/BGDDT-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GDTrH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06/12/2013;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TCCN: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1" w:tgtFrame="_blank" w:tooltip="Quyết định 976/QĐ-BGDĐT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976/QĐ-BGDĐT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20/3/2014;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ĐH, CĐ: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2" w:tgtFrame="_blank" w:tooltip="Quyết định 3468/QĐ-BGDĐT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3468/QĐ-BGDĐT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06/9/2014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3" w:tgtFrame="_blank" w:tooltip="Quyết định 3470/QĐ-BGDĐT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3470/QĐ-BGDĐT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06/9/2014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dung PCTN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soạn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 “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liêm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THPT” ban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4763/QĐ-BGDĐT,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9/11/2017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khảo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THPT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GDCD. </w:t>
      </w:r>
      <w:proofErr w:type="spellStart"/>
      <w:proofErr w:type="gram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THPT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THPT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khảo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diễn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tấm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nghiêm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4" w:tgtFrame="_blank" w:tooltip="Thông tư 03/2013/TT-TTCP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03/2013/TT-TTCP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10/6/2013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03);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03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03;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 1g, 3a, 3b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(qua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PCTN)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35,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Cồ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(files)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huấn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dõi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PCTN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20/4/2018;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cập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nhật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(qua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lastRenderedPageBreak/>
        <w:t>Khi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Ngô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Thắng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ĐT: 0912.577.486; Email: ndthang@moet.gov.vn.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proofErr w:type="gram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15245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152450" w:rsidRPr="00152450" w:rsidTr="00152450">
        <w:trPr>
          <w:tblCellSpacing w:w="0" w:type="dxa"/>
        </w:trPr>
        <w:tc>
          <w:tcPr>
            <w:tcW w:w="4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Như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trên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tra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báo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trưởng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báo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Thứ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trưởng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chỉ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Thanh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tra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Vụ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Chương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trình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Dự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án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Đề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án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để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thực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hiện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);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- Websites: www.moet.gov.vn;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www.thanhtra.moet.gov.vn;</w:t>
            </w:r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Lưu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VT,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TTr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KT. BỘ TRƯỞNG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THỨ TRƯỞNG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Phạm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Hùng</w:t>
            </w:r>
            <w:proofErr w:type="spellEnd"/>
          </w:p>
        </w:tc>
      </w:tr>
    </w:tbl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: 1362/BGDĐT-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TTr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10 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2018)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52450" w:rsidRPr="00152450" w:rsidTr="0015245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 </w:t>
            </w:r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VỊ...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152450" w:rsidRPr="00152450" w:rsidTr="0015245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/…...</w:t>
            </w:r>
            <w:r w:rsidRPr="00152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V/v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cáo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địa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chỉ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đầu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mối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theo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dõi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việc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thực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hiện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Chỉ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thị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số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hyperlink r:id="rId15" w:tgtFrame="_blank" w:tooltip="10/CT-TTg" w:history="1">
              <w:r w:rsidRPr="00152450">
                <w:rPr>
                  <w:rFonts w:ascii="Times New Roman" w:eastAsia="Times New Roman" w:hAnsi="Times New Roman" w:cs="Times New Roman"/>
                  <w:i/>
                  <w:iCs/>
                  <w:color w:val="0E70C3"/>
                  <w:sz w:val="16"/>
                  <w:szCs w:val="16"/>
                </w:rPr>
                <w:t>10/CT-</w:t>
              </w:r>
              <w:proofErr w:type="spellStart"/>
              <w:r w:rsidRPr="00152450">
                <w:rPr>
                  <w:rFonts w:ascii="Times New Roman" w:eastAsia="Times New Roman" w:hAnsi="Times New Roman" w:cs="Times New Roman"/>
                  <w:i/>
                  <w:iCs/>
                  <w:color w:val="0E70C3"/>
                  <w:sz w:val="16"/>
                  <w:szCs w:val="16"/>
                </w:rPr>
                <w:t>TTg</w:t>
              </w:r>
              <w:proofErr w:type="spellEnd"/>
            </w:hyperlink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và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công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tác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phòng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chống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tham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nhũng</w:t>
            </w:r>
            <w:proofErr w:type="spellEnd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50" w:rsidRPr="00152450" w:rsidRDefault="00152450" w:rsidP="0015245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…...,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 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04 </w:t>
            </w:r>
            <w:proofErr w:type="spellStart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524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2018</w:t>
            </w:r>
          </w:p>
        </w:tc>
      </w:tr>
    </w:tbl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</w:t>
      </w:r>
      <w:proofErr w:type="spellEnd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gửi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(qua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152450" w:rsidRPr="00152450" w:rsidRDefault="00152450" w:rsidP="001524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6" w:tgtFrame="_blank" w:tooltip="Chỉ thị 10/CT-TTg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10/CT-</w:t>
        </w:r>
        <w:proofErr w:type="spellStart"/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TTg</w:t>
        </w:r>
        <w:proofErr w:type="spellEnd"/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12/6/2013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tướng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dạy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2013-2014;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17" w:tgtFrame="_blank" w:tooltip="Thông tư 03/2013/TT-TTCP" w:history="1">
        <w:r w:rsidRPr="00152450">
          <w:rPr>
            <w:rFonts w:ascii="Arial" w:eastAsia="Times New Roman" w:hAnsi="Arial" w:cs="Arial"/>
            <w:color w:val="0E70C3"/>
            <w:sz w:val="18"/>
            <w:szCs w:val="18"/>
          </w:rPr>
          <w:t>03/2013/TT-TTCP</w:t>
        </w:r>
      </w:hyperlink>
      <w:r w:rsidRPr="0015245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10/6/2013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....;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GDĐT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dõi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proofErr w:type="gram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/ban/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khoa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email: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152450" w:rsidRPr="00152450" w:rsidRDefault="00152450" w:rsidP="001524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152450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15245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74DD3" w:rsidRDefault="00F74DD3"/>
    <w:sectPr w:rsidR="00F74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3236"/>
    <w:multiLevelType w:val="multilevel"/>
    <w:tmpl w:val="1C6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50"/>
    <w:rsid w:val="00152450"/>
    <w:rsid w:val="00F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4436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4500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9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0454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3684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chi-thi-10-ct-ttg-nam-2013-dua-noi-dung-phong-chong-tham-nhung-vao-giang-day-193866.aspx" TargetMode="External"/><Relationship Id="rId13" Type="http://schemas.openxmlformats.org/officeDocument/2006/relationships/hyperlink" Target="https://thuvienphapluat.vn/van-ban/bo-may-hanh-chinh/quyet-dinh-3470-qd-bgddt-2014-tai-lieu-giang-day-phong-chong-tham-nhung-cac-truong-dai-hoc-cao-dang-248607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giao-duc/ke-hoach-103-kh-bgddt-kiem-tra-phong-trao-thi-dua-xay-dung-truong-hoc-than-thien-134866.aspx" TargetMode="External"/><Relationship Id="rId12" Type="http://schemas.openxmlformats.org/officeDocument/2006/relationships/hyperlink" Target="https://thuvienphapluat.vn/van-ban/bo-may-hanh-chinh/quyet-dinh-3468-qd-bgddt-2014-tai-lieu-giang-day-phong-chong-tham-nhung-truong-dai-hoc-cao-dang-248606.aspx" TargetMode="External"/><Relationship Id="rId17" Type="http://schemas.openxmlformats.org/officeDocument/2006/relationships/hyperlink" Target="https://thuvienphapluat.vn/van-ban/bo-may-hanh-chinh/thong-tu-03-2013-tt-ttcp-che-do-bao-cao-cong-tac-thanh-tra-giai-quyet-khieu-nai-193718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uvienphapluat.vn/van-ban/bo-may-hanh-chinh/chi-thi-10-ct-ttg-nam-2013-dua-noi-dung-phong-chong-tham-nhung-vao-giang-day-193866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tim-kiem/?keyword=10/CT-TTg&amp;match=True&amp;area=2&amp;lan=1" TargetMode="External"/><Relationship Id="rId11" Type="http://schemas.openxmlformats.org/officeDocument/2006/relationships/hyperlink" Target="https://thuvienphapluat.vn/van-ban/bo-may-hanh-chinh/quyet-dinh-976-qd-bgddt-phong-chong-tham-nhung-trong-dao-tao-trinh-do-trung-cap-chuyen-nghiep-224212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tim-kiem/?keyword=10/CT-TTg&amp;match=True&amp;area=2&amp;lan=1" TargetMode="External"/><Relationship Id="rId10" Type="http://schemas.openxmlformats.org/officeDocument/2006/relationships/hyperlink" Target="https://thuvienphapluat.vn/cong-van/bo-may-hanh-chinh/cong-van-4145-bgddt-ttr-chat-luong-thuc-hien-10-ct-ttg-chong-tham-nhung-vao-giang-day-2016-320470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cong-van/bo-may-hanh-chinh/cong-van-5571-bgddt-ttr-nam-2013-huong-dan-thuc-hien-chi-thi-10-ct-ttg-204231.aspx" TargetMode="External"/><Relationship Id="rId14" Type="http://schemas.openxmlformats.org/officeDocument/2006/relationships/hyperlink" Target="https://thuvienphapluat.vn/van-ban/bo-may-hanh-chinh/thong-tu-03-2013-tt-ttcp-che-do-bao-cao-cong-tac-thanh-tra-giai-quyet-khieu-nai-19371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</dc:creator>
  <cp:lastModifiedBy>vien</cp:lastModifiedBy>
  <cp:revision>1</cp:revision>
  <dcterms:created xsi:type="dcterms:W3CDTF">2018-09-18T03:24:00Z</dcterms:created>
  <dcterms:modified xsi:type="dcterms:W3CDTF">2018-09-18T03:31:00Z</dcterms:modified>
</cp:coreProperties>
</file>