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626" w:rsidRPr="008A3626" w:rsidRDefault="008A3626" w:rsidP="008A3626">
      <w:pPr>
        <w:spacing w:after="240" w:line="630" w:lineRule="atLeast"/>
        <w:jc w:val="center"/>
        <w:outlineLvl w:val="0"/>
        <w:rPr>
          <w:rFonts w:ascii="Merriweather" w:eastAsia="Times New Roman" w:hAnsi="Merriweather" w:cs="Times New Roman"/>
          <w:b/>
          <w:bCs/>
          <w:color w:val="031739"/>
          <w:kern w:val="36"/>
          <w:sz w:val="48"/>
          <w:szCs w:val="48"/>
        </w:rPr>
      </w:pPr>
      <w:bookmarkStart w:id="0" w:name="_GoBack"/>
      <w:r w:rsidRPr="008A3626">
        <w:rPr>
          <w:rFonts w:ascii="Merriweather" w:eastAsia="Times New Roman" w:hAnsi="Merriweather" w:cs="Times New Roman"/>
          <w:b/>
          <w:bCs/>
          <w:color w:val="031739"/>
          <w:kern w:val="36"/>
          <w:sz w:val="48"/>
          <w:szCs w:val="48"/>
        </w:rPr>
        <w:t>Nghị quyết số 172/2024/QH15 về chủ trương đầu tư Dự án đường sắt tốc độ cao Bắc-Nam</w:t>
      </w:r>
    </w:p>
    <w:bookmarkEnd w:id="0"/>
    <w:p w:rsidR="008A3626" w:rsidRPr="008A3626" w:rsidRDefault="008A3626" w:rsidP="008A3626">
      <w:pPr>
        <w:spacing w:after="0" w:line="240" w:lineRule="auto"/>
        <w:rPr>
          <w:rFonts w:ascii="SF Pro Display" w:eastAsia="Times New Roman" w:hAnsi="SF Pro Display" w:cs="Times New Roman"/>
          <w:color w:val="333333"/>
          <w:sz w:val="21"/>
          <w:szCs w:val="21"/>
        </w:rPr>
      </w:pPr>
      <w:r>
        <w:rPr>
          <w:rFonts w:ascii="SF Pro Display" w:eastAsia="Times New Roman" w:hAnsi="SF Pro Display" w:cs="Times New Roman"/>
          <w:noProof/>
          <w:color w:val="333333"/>
          <w:sz w:val="21"/>
          <w:szCs w:val="21"/>
        </w:rPr>
        <mc:AlternateContent>
          <mc:Choice Requires="wps">
            <w:drawing>
              <wp:inline distT="0" distB="0" distL="0" distR="0">
                <wp:extent cx="1143000" cy="304800"/>
                <wp:effectExtent l="0" t="0" r="0" b="0"/>
                <wp:docPr id="1" name="Rectangle 1" descr="google new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google news" style="width:90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" filled="f" stroked="f">
                <o:lock v:ext="edit" aspectratio="t"/>
                <w10:anchorlock/>
              </v:rect>
            </w:pict>
          </mc:Fallback>
        </mc:AlternateContent>
      </w:r>
    </w:p>
    <w:p w:rsidR="008A3626" w:rsidRPr="008A3626" w:rsidRDefault="008A3626" w:rsidP="008A3626">
      <w:pPr>
        <w:spacing w:after="0" w:line="390" w:lineRule="atLeast"/>
        <w:jc w:val="center"/>
        <w:outlineLvl w:val="1"/>
        <w:rPr>
          <w:rFonts w:ascii="Inter" w:eastAsia="Times New Roman" w:hAnsi="Inter" w:cs="Times New Roman"/>
          <w:b/>
          <w:bCs/>
          <w:color w:val="152C4A"/>
          <w:sz w:val="45"/>
          <w:szCs w:val="45"/>
        </w:rPr>
      </w:pPr>
      <w:r w:rsidRPr="008A3626">
        <w:rPr>
          <w:rFonts w:ascii="Inter" w:eastAsia="Times New Roman" w:hAnsi="Inter" w:cs="Times New Roman"/>
          <w:b/>
          <w:bCs/>
          <w:color w:val="152C4A"/>
          <w:sz w:val="45"/>
          <w:szCs w:val="45"/>
        </w:rPr>
        <w:t>NGHỊ QUYẾT</w:t>
      </w:r>
    </w:p>
    <w:p w:rsidR="008A3626" w:rsidRPr="008A3626" w:rsidRDefault="008A3626" w:rsidP="008A3626">
      <w:pPr>
        <w:spacing w:after="0" w:line="390" w:lineRule="atLeast"/>
        <w:jc w:val="center"/>
        <w:outlineLvl w:val="1"/>
        <w:rPr>
          <w:rFonts w:ascii="Inter" w:eastAsia="Times New Roman" w:hAnsi="Inter" w:cs="Times New Roman"/>
          <w:b/>
          <w:bCs/>
          <w:color w:val="152C4A"/>
          <w:sz w:val="45"/>
          <w:szCs w:val="45"/>
        </w:rPr>
      </w:pPr>
      <w:r w:rsidRPr="008A3626">
        <w:rPr>
          <w:rFonts w:ascii="Inter" w:eastAsia="Times New Roman" w:hAnsi="Inter" w:cs="Times New Roman"/>
          <w:b/>
          <w:bCs/>
          <w:color w:val="152C4A"/>
          <w:sz w:val="45"/>
          <w:szCs w:val="45"/>
        </w:rPr>
        <w:t>Về chủ trương đầu tư Dự án đường sắt tốc độ cao trên trục Bắc - Nam</w:t>
      </w:r>
    </w:p>
    <w:p w:rsidR="008A3626" w:rsidRPr="008A3626" w:rsidRDefault="008A3626" w:rsidP="008A3626">
      <w:pPr>
        <w:spacing w:after="0" w:line="390" w:lineRule="atLeast"/>
        <w:jc w:val="center"/>
        <w:outlineLvl w:val="1"/>
        <w:rPr>
          <w:rFonts w:ascii="Inter" w:eastAsia="Times New Roman" w:hAnsi="Inter" w:cs="Times New Roman"/>
          <w:b/>
          <w:bCs/>
          <w:color w:val="152C4A"/>
          <w:sz w:val="45"/>
          <w:szCs w:val="45"/>
        </w:rPr>
      </w:pPr>
      <w:r w:rsidRPr="008A3626">
        <w:rPr>
          <w:rFonts w:ascii="Inter" w:eastAsia="Times New Roman" w:hAnsi="Inter" w:cs="Times New Roman"/>
          <w:b/>
          <w:bCs/>
          <w:color w:val="152C4A"/>
          <w:sz w:val="45"/>
          <w:szCs w:val="45"/>
        </w:rPr>
        <w:t>QUỐC HỘI</w:t>
      </w:r>
    </w:p>
    <w:p w:rsidR="008A3626" w:rsidRPr="008A3626" w:rsidRDefault="008A3626" w:rsidP="008A3626">
      <w:pPr>
        <w:spacing w:after="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i/>
          <w:iCs/>
          <w:color w:val="152C4A"/>
          <w:sz w:val="28"/>
          <w:szCs w:val="28"/>
        </w:rPr>
        <w:t>Căn cứ Hiến pháp nước Cộng hòa xã hội chủ nghĩa Việt Nam;</w:t>
      </w:r>
    </w:p>
    <w:p w:rsidR="008A3626" w:rsidRPr="008A3626" w:rsidRDefault="008A3626" w:rsidP="008A3626">
      <w:pPr>
        <w:spacing w:after="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i/>
          <w:iCs/>
          <w:color w:val="152C4A"/>
          <w:sz w:val="28"/>
          <w:szCs w:val="28"/>
        </w:rPr>
        <w:t>Căn cứ Luật Đường sắt số 06/2017/QH14 đã được sửa đổi, bổ sung một số điều theo Luật số 35/2018/QH14 và Luật số 16/2023/QH15;</w:t>
      </w:r>
    </w:p>
    <w:p w:rsidR="008A3626" w:rsidRPr="008A3626" w:rsidRDefault="008A3626" w:rsidP="008A3626">
      <w:pPr>
        <w:spacing w:after="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i/>
          <w:iCs/>
          <w:color w:val="152C4A"/>
          <w:sz w:val="28"/>
          <w:szCs w:val="28"/>
        </w:rPr>
        <w:t>Căn cứ Luật Đầu tư công số 39/2019/QH14 đã được sửa đổi, bổ sung một số điều theo Luật số 64/2020/QH14, Luật số 72/2020/QH14 và Luật số 03/2022/QH15;</w:t>
      </w:r>
    </w:p>
    <w:p w:rsidR="008A3626" w:rsidRPr="008A3626" w:rsidRDefault="008A3626" w:rsidP="008A3626">
      <w:pPr>
        <w:spacing w:after="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i/>
          <w:iCs/>
          <w:color w:val="152C4A"/>
          <w:sz w:val="28"/>
          <w:szCs w:val="28"/>
        </w:rPr>
        <w:t>Căn cứ Nghị quyết số 29/2021/QH15 ngày 28 tháng 7 năm 2021 của Quốc hội về Kế hoạch đầu tư công trung hạn giai đoạn 2021 - 2025;</w:t>
      </w:r>
    </w:p>
    <w:p w:rsidR="008A3626" w:rsidRPr="008A3626" w:rsidRDefault="008A3626" w:rsidP="008A3626">
      <w:pPr>
        <w:spacing w:after="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i/>
          <w:iCs/>
          <w:color w:val="152C4A"/>
          <w:sz w:val="28"/>
          <w:szCs w:val="28"/>
        </w:rPr>
        <w:t>Sau khi xem xét Tờ trình số 767/TTr-CP ngày 10 tháng 11 năm 2024 của Chính phủ, Báo cáo thẩm tra số 3339/BC-UBKT15 ngày 12 tháng 11 năm 2024 của Ủy ban Kinh tế của Quốc hội, Báo cáo số 1112/BC-UBTVQH15 ngày 30 tháng 11 năm 2024 của Ủy ban Thường vụ Quốc hội tiếp thu, chỉnh lý và giải trình về chủ trương đầu tư Dự án đường sắt tốc độ cao trên trục Bắc - Nam, các tài liệu liên quan và ý kiến của các đại biểu Quốc hội;</w:t>
      </w:r>
    </w:p>
    <w:p w:rsidR="008A3626" w:rsidRPr="008A3626" w:rsidRDefault="008A3626" w:rsidP="008A3626">
      <w:pPr>
        <w:spacing w:after="0" w:line="390" w:lineRule="atLeast"/>
        <w:jc w:val="center"/>
        <w:outlineLvl w:val="1"/>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QUYẾT NGHỊ:</w:t>
      </w:r>
    </w:p>
    <w:p w:rsidR="008A3626" w:rsidRPr="008A3626" w:rsidRDefault="008A3626" w:rsidP="008A3626">
      <w:pPr>
        <w:spacing w:after="0" w:line="390" w:lineRule="atLeast"/>
        <w:outlineLvl w:val="2"/>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Điều 1</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Quyết định chủ trương đầu tư Dự án đường sắt tốc độ cao trên trục Bắc - Nam (sau đây gọi là Dự án).</w:t>
      </w:r>
    </w:p>
    <w:p w:rsidR="008A3626" w:rsidRPr="008A3626" w:rsidRDefault="008A3626" w:rsidP="008A3626">
      <w:pPr>
        <w:spacing w:after="0" w:line="390" w:lineRule="atLeast"/>
        <w:outlineLvl w:val="2"/>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Điều 2</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1. Mục tiêu:</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 xml:space="preserve">Xây dựng tuyến đường sắt tốc độ cao hiện đại, đồng bộ nhằm đáp ứng nhu cầu vận tải, tạo động lực quan trọng cho phát triển kinh tế - xã hội nhanh và bền vững, phát huy lợi thế trên hành lang kinh tế Bắc - Nam, bảo đảm kết nối hiệu quả các hành lang Đông - Tây và các nước trong khu vực, gắn với bảo đảm quốc phòng, an ninh </w:t>
      </w:r>
      <w:r w:rsidRPr="008A3626">
        <w:rPr>
          <w:rFonts w:ascii="Times New Roman" w:eastAsia="Times New Roman" w:hAnsi="Times New Roman" w:cs="Times New Roman"/>
          <w:color w:val="152C4A"/>
          <w:sz w:val="28"/>
          <w:szCs w:val="28"/>
        </w:rPr>
        <w:lastRenderedPageBreak/>
        <w:t>và hội nhập quốc tế, bảo vệ môi trường, ứng phó với biến đổi khí hậu, thúc đẩy tiến trình công nghiệp hoá, hiện đại hoá đất nước, góp phần hiện thực hóa mục tiêu, nhiệm vụ theo Văn kiện Đại hội đại biểu toàn quốc lần thứ XIII và các Nghị quyết của Đảng.</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2. Phạm vi, quy mô, hình thức đầu tư:</w:t>
      </w:r>
    </w:p>
    <w:p w:rsidR="008A3626" w:rsidRPr="008A3626" w:rsidRDefault="008A3626" w:rsidP="008A3626">
      <w:pPr>
        <w:spacing w:after="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b/>
          <w:bCs/>
          <w:color w:val="152C4A"/>
          <w:sz w:val="28"/>
          <w:szCs w:val="28"/>
        </w:rPr>
        <w:t>a) Phạm vi: </w:t>
      </w:r>
      <w:r w:rsidRPr="008A3626">
        <w:rPr>
          <w:rFonts w:ascii="Times New Roman" w:eastAsia="Times New Roman" w:hAnsi="Times New Roman" w:cs="Times New Roman"/>
          <w:color w:val="152C4A"/>
          <w:sz w:val="28"/>
          <w:szCs w:val="28"/>
        </w:rPr>
        <w:t>Dự án có tổng chiều dài tuyến khoảng 1.541 km; điểm đầu tại ga Ngọc Hồi (Thủ đô Hà Nội), điểm cuối tại ga Thủ Thiêm (Thành phố Hồ Chí Minh), đi qua địa phận 20 tỉnh, thành phố trực thuộc Trung ương gồm: Thủ đô Hà Nội, Hà Nam, Nam Định, Ninh Bình, Thanh Hóa, Nghệ An, Hà Tĩnh, Quảng Bình, Quảng Trị, Huế, Đà Nẵng, Quảng Nam, Quảng Ngãi, Bình Định, Phú Yên, Khánh Hòa, Ninh Thuận, Bình Thuận, Đồng Nai, Thành phố Hồ Chí Minh;</w:t>
      </w:r>
    </w:p>
    <w:p w:rsidR="008A3626" w:rsidRPr="008A3626" w:rsidRDefault="008A3626" w:rsidP="008A3626">
      <w:pPr>
        <w:spacing w:after="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b/>
          <w:bCs/>
          <w:color w:val="152C4A"/>
          <w:sz w:val="28"/>
          <w:szCs w:val="28"/>
        </w:rPr>
        <w:t>b) Quy mô: </w:t>
      </w:r>
      <w:r w:rsidRPr="008A3626">
        <w:rPr>
          <w:rFonts w:ascii="Times New Roman" w:eastAsia="Times New Roman" w:hAnsi="Times New Roman" w:cs="Times New Roman"/>
          <w:color w:val="152C4A"/>
          <w:sz w:val="28"/>
          <w:szCs w:val="28"/>
        </w:rPr>
        <w:t>đầu tư mới toàn tuyến đường đôi khổ 1.435 mm, tốc độ thiết kế 350 km/h, tải trọng 22,5 tấn/trục; 23 ga hành khách, 05 ga hàng hóa; phương tiện, thiết bị; đường sắt tốc độ cao vận chuyển hành khách, đáp ứng yêu cầu lưỡng dụng phục vụ quốc phòng, an ninh, có thể vận tải hàng hóa khi cần thiết;</w:t>
      </w:r>
    </w:p>
    <w:p w:rsidR="008A3626" w:rsidRPr="008A3626" w:rsidRDefault="008A3626" w:rsidP="008A3626">
      <w:pPr>
        <w:spacing w:after="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b/>
          <w:bCs/>
          <w:color w:val="152C4A"/>
          <w:sz w:val="28"/>
          <w:szCs w:val="28"/>
        </w:rPr>
        <w:t>c) Hình thức đầu tư:</w:t>
      </w:r>
      <w:r w:rsidRPr="008A3626">
        <w:rPr>
          <w:rFonts w:ascii="Times New Roman" w:eastAsia="Times New Roman" w:hAnsi="Times New Roman" w:cs="Times New Roman"/>
          <w:color w:val="152C4A"/>
          <w:sz w:val="28"/>
          <w:szCs w:val="28"/>
        </w:rPr>
        <w:t> đầu tư công.</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3. Công nghệ: áp dụng công nghệ đường sắt chạy trên ray, điện khí hóa; bảo đảm hiện đại, đồng bộ, an toàn và hiệu quả.</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4. Sơ bộ tổng nhu cầu sử dụng đất và số dân tái định cư:</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a) Sơ bộ tổng nhu cầu sử dụng đất của Dự án khoảng 10.827 ha, gồm: đất trồng lúa khoảng 3.655 ha, đất lâm nghiệp khoảng 2.567 ha và các loại đất khác theo quy định của pháp luật về đất đai khoảng 4.605 ha. Trong đó: đất trồng lúa nước từ hai vụ trở lên khoảng 3.102 ha; rừng đặc dụng khoảng 243 ha, rừng phòng hộ khoảng 653 ha, rừng sản xuất khoảng 1.671 ha;</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b) Sơ bộ số dân tái định cư khoảng 120.836 người.</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5. Sơ bộ tổng mức đầu tư và nguồn vốn:</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a) Sơ bộ tổng mức đầu tư của Dự án là 1.713.548 tỷ đồng (một triệu, bảy trăm mười ba nghìn, năm trăm bốn mươi tám tỷ đồng);</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b) Nguồn vốn ngân sách nhà nước bố trí trong các kỳ kế hoạch đầu tư công trung hạn và nguồn vốn hợp pháp khác.</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6. Tiến độ thực hiện: lập báo cáo nghiên cứu khả thi từ năm 2025, phấn đấu cơ bản hoàn thành Dự án năm 2035.</w:t>
      </w:r>
    </w:p>
    <w:p w:rsidR="008A3626" w:rsidRPr="008A3626" w:rsidRDefault="008A3626" w:rsidP="008A3626">
      <w:pPr>
        <w:spacing w:after="0" w:line="390" w:lineRule="atLeast"/>
        <w:outlineLvl w:val="2"/>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Điều 3</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Dự án được áp dụng các cơ chế, chính sách đặc thù, đặc biệt sau đây:</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1. Trong quá trình thực hiện Dự án, Thủ tướng Chính phủ được quyết định:</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a) Phát hành trái phiếu Chính phủ để bổ sung dự toán và kế hoạch đầu tư hằng năm cho Dự án trong trường hợp dự toán ngân sách nhà nước bố trí hằng năm không đáp ứng tiến độ;</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b) Huy động vốn hỗ trợ phát triển chính thức (ODA), vốn vay ưu đãi nước ngoài để thực hiện Dự án và không phải lập Đề xuất dự án sử dụng vốn ODA, vốn vay ưu đãi nước ngoài; áp dụng theo quy định của nhà tài trợ nước ngoài trong trường hợp pháp luật Việt Nam chưa có quy định hoặc đã có quy định nhưng khác với quy định của nhà tài trợ nước ngoài;</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c) Sử dụng nguồn tăng thu, tiết kiệm chi ngân sách trung ương hằng năm (nếu có) và các nguồn vốn hợp pháp khác cho Dự án trong trường hợp dự toán ngân sách nhà nước bố trí hằng năm không đáp ứng tiến độ. Việc sử dụng nguồn tăng thu, tiết kiệm chi không phải thực hiện theo thứ tự ưu tiên theo quy định của pháp luật về ngân sách nhà nước.</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2. Dự án được bố trí vốn qua các kỳ kế hoạch đầu tư công trung hạn, mức vốn bố trí mỗi kỳ kế hoạch đầu tư công trung hạn phù hợp với tiến độ thực hiện Dự án và không giới hạn phần vốn chuyển tiếp của Dự án sang kỳ kế hoạch đầu tư công trung hạn tiếp theo. Thủ tướng Chính phủ quyết định điều chỉnh kế hoạch đầu tư công trung hạn và hằng năm vốn ngân sách trung ương giữa các Bộ, cơ quan trung ương và địa phương để bố trí vốn cho Dự án.</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3. Dự án không phải thực hiện việc thẩm định khả năng cân đối vốn theo quy định của Luật Đầu tư công.</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4. Về phát triển, khai thác quỹ đất và giá trị tăng thêm từ đất vùng phụ cận ga đường sắt tốc độ cao:</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a) Ủy ban nhân dân cấp tỉnh tổ chức lập, điều chỉnh quy hoạch phân khu, quy hoạch chi tiết vùng phụ cận ga đường sắt để xác định vị trí, ranh giới, diện tích đất thu hồi. Trong vùng phụ cận, Ủy ban nhân dân cấp tỉnh được quyết định các chỉ tiêu quy hoạch, kiến trúc, hạ tầng kỹ thuật, hạ tầng xã hội, các yêu cầu về không gian khác với quy định tại quy chuẩn kỹ thuật quốc gia nhưng phải bảo đảm đáp ứng về hệ thống hạ tầng kỹ thuật, hạ tầng xã hội; điều chỉnh chức năng sử dụng các khu đất trong vùng phụ cận ga đường sắt để khai thác quỹ đất và giá trị tăng thêm từ đất;</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b) Đối với khu vực đã có quy hoạch đô thị, quy hoạch sử dụng đất được phê duyệt nhưng khi lập, điều chỉnh quy hoạch vùng phụ cận ga đường sắt có đề xuất mới, khác với nội dung quy hoạch đã được phê duyệt thì quyết định phê duyệt quy hoạch vùng phụ cận có giá trị thay thế và không phải làm thủ tục điều chỉnh quy hoạch đã được phê duyệt trước đó;</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c) Hội đồng nhân dân cấp tỉnh quyết định sử dụng ngân sách địa phương để triển khai dự án đầu tư công độc lập thực hiện công tác bồi thường, hỗ trợ, tái định cư theo quy hoạch vùng phụ cận ga đường sắt để tạo quỹ đất đấu giá nhằm phát triển đô thị theo quy định của pháp luật;</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d) Đối với số tiền thu được từ khai thác quỹ đất vùng phụ cận ga đường sắt sau khi trừ đi các chi phí có liên quan theo quy định của pháp luật, chính quyền địa phương cấp tỉnh được giữ lại 50% và nộp 50% vào ngân sách trung ương để cân đối ngân sách nhà nước đầu tư cho Dự án.</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5. Về khai thác khoáng sản làm vật liệu xây dựng thông thường phục vụ Dự án:</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a) Đối với các mỏ khoáng sản làm vật liệu xây dựng thông thường cung cấp cho Dự án đã được cấp phép, đang hoạt động, còn thời hạn khai thác hoặc đã hết thời hạn khai thác, còn trữ lượng nhưng chưa thực hiện thủ tục đóng cửa mỏ, Ủy ban nhân dân cấp tỉnh quyết định:</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 Điều chỉnh trữ lượng khai thác, kéo dài thời hạn khai thác mỏ, nâng công suất theo nhu cầu của Dự án mà không phải thực hiện thủ tục điều chỉnh quy hoạch tỉnh, không phải lập dự án đầu tư khai thác khoáng sản điều chỉnh để thực hiện trình tự, thủ tục quyết định hoặc chấp thuận chủ trương đầu tư, không phải thực hiện thủ tục thẩm định và phê duyệt kết quả thẩm định báo cáo đánh giá tác động môi trường, cấp giấy phép môi trường;</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 Dừng việc nâng công suất khai thác sau khi đã cung cấp đủ cho Dự án;</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b) Đối với các mỏ khoáng sản nằm trong Hồ sơ khảo sát vật liệu xây dựng phục vụ Dự án nhưng chưa cấp Giấy phép khai thác:</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 Ủy ban nhân dân cấp tỉnh quyết định điều chỉnh, bổ sung các mỏ khoáng sản này vào phương án quản lý về địa chất, khoáng sản trong quy hoạch tỉnh mà không phải thực hiện thủ tục điều chỉnh quy hoạch tỉnh; sử dụng nguồn dự phòng của Dự án để tổ chức thu hồi đất, bồi thường, hỗ trợ, tái định cư khu vực mỏ sau khi đã được khảo sát, đánh giá về trữ lượng, chất lượng theo yêu cầu của Dự án và các nội dung khác theo quy định của pháp luật về địa chất và khoáng sản để cấp mỏ cho tổ chức, cá nhân khai thác khoáng sản phục vụ Dự án; quản lý, giám sát quá trình thực hiện và quản lý sau khi hoàn thành Dự án;</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 Tổ chức, cá nhân khai thác khoáng sản phục vụ Dự án không phải thực hiện thủ tục cấp Giấy phép khai thác đối với các mỏ khoáng sản làm vật liệu xây dựng thông thường nằm trong Hồ sơ khảo sát vật liệu xây dựng phục vụ Dự án; không phải lập dự án đầu tư khai thác khoáng sản và báo cáo đánh giá tác động môi trường mà thực hiện cam kết bảo vệ môi trường gồm các nội dung sau: liệt kê các hạng mục công trình và hoạt động có khả năng tác động xấu đến môi trường; nhận dạng đối tượng bị tác động, yếu tố nhạy cảm về môi trường nơi khai thác; nhận dạng, đánh giá, dự báo tác động môi trường chính, chất thải phát sinh; quy mô, tính chất của chất thải; tác động đến đa dạng sinh học, di sản thiên nhiên, di tích lịch sử - văn hóa và yếu tố nhạy cảm khác; công trình, biện pháp giảm thiểu tác động môi trường tương ứng kèm theo quy chuẩn kỹ thuật áp dụng cho từng nguồn thải; nhận dạng, đánh giá sự cố môi trường có thể xảy ra và phương án phòng ngừa, ứng phó sự cố; giải pháp, danh mục, khối lượng, kế hoạch thực hiện, dự toán kinh phí để tiến hành cải tạo, phục hồi môi trường;</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 Tổ chức, cá nhân khai thác khoáng sản phục vụ Dự án chịu trách nhiệm nộp thuế, phí và nghĩa vụ tài chính khác theo quy định của pháp luật;</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 Việc khai thác, sử dụng khoáng sản được thực hiện đến khi hoàn thành Dự án và phải chịu sự quản lý, giám sát theo quy định của pháp luật;</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c) Trường hợp đã khai thác hết trữ lượng khoáng sản tại các mỏ khoáng sản nằm trong Hồ sơ khảo sát vật liệu xây dựng phục vụ Dự án nhưng vẫn chưa đáp ứng đủ nhu cầu cung cấp vật liệu xây dựng cho Dự án, chủ đầu tư chủ trì tổ chức khảo sát, đề xuất Ủy ban nhân dân cấp tỉnh quyết định bổ sung mới các mỏ khoáng sản vào Hồ sơ khảo sát vật liệu xây dựng phục vụ Dự án; việc quản lý, khai thác, sử dụng khoáng sản tại các mỏ khoáng sản bổ sung mới thực hiện như quy định tại điểm b khoản này;</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d) Ủy ban nhân dân cấp tỉnh căn cứ điều kiện thực tế để xem xét, hướng dẫn tổ chức, cá nhân khai thác khoáng sản phục vụ Dự án tự lập đánh giá tác động tới lòng, bờ, bãi sông đối với mỏ cát, sỏi lòng sông nằm ở đoạn sông, suối có nguy cơ sạt lở cao bảo đảm tuân thủ quy định về quản lý cát, sỏi lòng sông và bảo vệ lòng, bờ, bãi sông; kiểm tra, kiểm soát việc sử dụng khoáng sản theo quy định của pháp luật.</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6. Về bãi đổ chất thải rắn xây dựng và tầng đất mặt của đất chuyên trồng lúa nước:</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a) Ủy ban nhân dân cấp tỉnh quyết định thu hồi đất, bồi thường, hỗ trợ, tái định cư khu vực bãi đổ chất thải rắn xây dựng trong Hồ sơ khảo sát Dự án và bàn giao mặt bằng cho nhà thầu để đổ chất thải rắn xây dựng của Dự án;</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b) Ủy ban nhân dân cấp tỉnh tổ chức quản lý bãi đổ chất thải rắn xây dựng của Dự án theo quy định của pháp luật về đất đai, pháp luật về môi trường và quy định khác của pháp luật có liên quan;</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c) Ủy ban nhân dân cấp tỉnh tổ chức xây dựng phương án sử dụng tầng đất mặt của đất chuyên trồng lúa nước thu hồi từ Dự án. Việc xây dựng phương án sử dụng tầng đất mặt của đất chuyên trồng lúa nước thu hồi từ Dự án thực hiện theo quy định của pháp luật về trồng trọt.</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7. Phát triển khoa học, công nghệ và đào tạo phát triển nguồn nhân lực cho Dự án:</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a) Tổ chức, cá nhân tham gia các hoạt động khoa học, công nghệ phục vụ Dự án được áp dụng các chính sách sau đây:</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 Tổ chức, cá nhân chủ trì hoạt động khoa học, công nghệ phục vụ Dự án được quyết định việc đấu thầu hạn chế, chỉ định thầu, đặt hàng để lựa chọn nhà thầu cung ứng dịch vụ, hàng hóa;</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 Doanh nghiệp được hưởng ưu đãi như doanh nghiệp công nghệ cao theo quy định của pháp luật về công nghệ cao trong thời gian thực hiện nhiệm vụ khoa học, công nghệ phục vụ Dự án;</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 Miễn thuế thu nhập doanh nghiệp, miễn thuế thu nhập cá nhân từ việc thực hiện nhiệm vụ khoa học, công nghệ phục vụ Dự án;</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b) Tổ chức, cá nhân tham gia đào tạo phát triển nguồn nhân lực công nghệ cao phục vụ Dự án được hưởng các chính sách ưu đãi theo quy định của pháp luật về công nghệ cao.</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8. Về phát triển công nghiệp và chuyển giao công nghệ:</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a) Chính phủ quy định tiêu chí lựa chọn tổ chức, doanh nghiệp nhà nước được giao nhiệm vụ hoặc doanh nghiệp Việt Nam khác được đặt hàng cung cấp dịch vụ, hàng hóa công nghiệp đường sắt; nghiên cứu, ứng dụng, nhận chuyển giao công nghệ;</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b) Thủ tướng Chính phủ quyết định danh mục dịch vụ, hàng hóa công nghiệp đường sắt được giao nhiệm vụ cho tổ chức, doanh nghiệp nhà nước hoặc đặt hàng cho tổ chức, doanh nghiệp Việt Nam;</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c) Tổng thầu, nhà thầu phải ưu tiên sử dụng các sản phẩm, hàng hóa, dịch vụ mà trong nước có thể sản xuất, cung cấp;</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d) Đối với gói thầu được tổ chức đấu thầu quốc tế, hồ sơ mời thầu phải có điều kiện cam kết của tổng thầu, nhà thầu nước ngoài về việc chuyển giao công nghệ, đào tạo nguồn nhân lực cho đối tác Việt Nam để làm chủ công tác quản lý, vận hành, khai thác, bảo trì; từng bước làm chủ công nghệ.</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9. Cấp có thẩm quyền quyết định đầu tư được quyết định việc phân chia Dự án thành các dự án thành phần, tiểu dự án khi phê duyệt dự án. Việc phân chia dự án thành phần, tiểu dự án không phải áp dụng theo quy định của pháp luật về xây dựng.</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10. Về thẩm quyền quyết định điều chỉnh chủ trương đầu tư Dự án, điều chỉnh Dự án:</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a) Trong thời gian Quốc hội không họp, Quốc hội ủy quyền cho Ủy ban Thường vụ Quốc hội xem xét, quyết định điều chỉnh chủ trương đầu tư Dự án, trừ trường hợp điều chỉnh tăng tổng mức đầu tư của Dự án;</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b) Bộ trưởng Bộ Giao thông vận tải quyết định điều chỉnh Dự án đối với các trường hợp: khi điều chỉnh quy hoạch ảnh hưởng trực tiếp tới Dự án; do ảnh hưởng của sự cố thiên tai, hỏa hoạn hoặc yếu tố bất khả kháng khác khi đã hết thời gian bảo hiểm của Dự án; chỉ số giá trong thời gian thực hiện Dự án lớn hơn chỉ số giá được sử dụng để tính dự phòng trong tổng mức đầu tư Dự án.</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11. Công trình nhà ga đường sắt tốc độ cao không phải thi tuyển phương án kiến trúc.</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12. Về công tác bồi thường, hỗ trợ, tái định cư:</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a) Tập đoàn Điện lực Việt Nam chủ trì tổ chức thực hiện tiểu dự án hoặc các tiểu dự án đối với công tác di dời công trình điện có điện áp từ 110 kV trở lên;</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b) Ủy ban nhân dân cấp tỉnh có Dự án đi qua triển khai xây dựng khu tái định cư cho Dự án trên cơ sở hồ sơ thiết kế sơ bộ trong Báo cáo nghiên cứu tiền khả thi được Quốc hội quyết định chủ trương đầu tư;</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c) Người đứng đầu cơ quan có thẩm quyền được quyết định áp dụng chỉ định thầu đối với các gói thầu tư vấn, phi tư vấn, xây lắp thực hiện công tác bồi thường, hỗ trợ, tái định cư. Trình tự, thủ tục chỉ định thầu thực hiện theo quy định của pháp luật về đấu thầu;</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d) Trường hợp cần thiết theo đề nghị của các địa phương, chủ đầu tư Dự án tổ chức xây dựng khung chính sách bồi thường, hỗ trợ, tái định cư trình Thủ tướng Chính phủ quyết định.</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13. Dự án được lập thiết kế kỹ thuật tổng thể (FEED) thay thế cho thiết kế cơ sở trong Báo cáo nghiên cứu khả thi Dự án.</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14. Về chuyển mục đích sử dụng rừng sang mục đích khác và tạm sử dụng rừng:</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a) Chủ trương chuyển mục đích sử dụng rừng sang mục đích khác được thực hiện trong bước nghiên cứu khả thi của Dự án. Hồ sơ đề xuất chủ trương chuyển mục đích sử dụng rừng sang mục đích khác là thành phần hồ sơ Báo cáo nghiên cứu khả thi của Dự án. Quyết định phê duyệt Dự án đồng thời là Quyết định chủ trương chuyển mục đích sử dụng rừng sang mục đích khác;</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b) Chính phủ quy định việc tạm sử dụng rừng và hoàn trả rừng để thực hiện thi công công trình tạm phục vụ Dự án.</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15. Về lập tổng mức đầu tư, dự toán gói thầu:</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a) Đối với các hạng mục công việc có nhưng chưa phù hợp hoặc chưa có trong hệ thống định mức xây dựng, đơn giá được cấp có thẩm quyền ban hành, Dự án được áp dụng hệ thống định mức xây dựng, giá xây dựng công trình của các dự án đường sắt tương tự trên thế giới và được quy đổi về thời điểm tính toán;</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b) Đối với các hạng mục không thể xác định chi phí theo điểm a khoản này được phép xác định chi phí theo suất vốn đầu tư của dự án đường sắt tương tự trên thế giới và được quy đổi về thời điểm tính toán;</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c) Đối với các khoản mục chi phí chưa được quy định trong pháp luật Việt Nam hoặc đã có quy định trong pháp luật Việt Nam nhưng chưa phù hợp với các dự án đường sắt có tính chất, điều kiện triển khai tương tự, được áp dụng các khoản mục chi phí như các dự án đường sắt có tính chất, điều kiện triển khai tương tự trên thế giới.</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16. Sau khi Quốc hội quyết định chủ trương đầu tư, Dự án được bổ sung danh mục trong kế hoạch đầu tư công trung hạn và bố trí vốn kế hoạch đầu tư công hằng năm để triển khai các hoạt động thực hiện trước, bao gồm:</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a) Các nhiệm vụ chi của chủ đầu tư, Ban quản lý dự án; đào tạo nguồn nhân lực của cơ quan nhà nước, đơn vị quản lý dự án, đơn vị vận hành khai thác, cơ sở đào tạo, cơ sở nghiên cứu;</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b) Chi trả các dịch vụ tư vấn cho Dự án;</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c) Thực hiện các công việc trong công tác bồi thường, hỗ trợ, tái định cư quy định tại điểm b và điểm c khoản 12 Điều này;</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d) Thực hiện công tác truyền thông và những công việc khác phục vụ chuẩn bị đầu tư Dự án.</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17. Cơ chế, chính sách bảo đảm phòng, chống tham nhũng, lãng phí, tiêu cực:</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a) Khi lựa chọn nhà thầu các gói thầu EPC, gói thầu tư vấn sử dụng nhà thầu nước ngoài, thành phần Tổ thẩm định theo quy định của pháp luật về đấu thầu và bổ sung đại diện Bộ Quốc phòng, Bộ Công an, Bộ Kế hoạch và Đầu tư, Bộ Tài chính, Thanh tra Chính phủ, Kiểm toán nhà nước;</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b) Chủ đầu tư có trách nhiệm gửi hồ sơ tổng mức đầu tư đã được hoàn thiện theo báo cáo thẩm định của cấp quyết định đầu tư cho Kiểm toán nhà nước để thực hiện kiểm toán làm cơ sở phê duyệt Dự án. Kiểm toán nhà nước có trách nhiệm gửi kết quả kiểm toán cho cấp quyết định đầu tư trong thời hạn tối đa không quá 30 ngày, kể từ khi nhận được đầy đủ hồ sơ đề nghị kiểm toán.</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18. Trong thời gian Quốc hội không họp, Quốc hội ủy quyền cho Ủy ban Thường vụ Quốc hội xem xét, quyết định bổ sung, điều chỉnh cơ chế, chính sách đặc thù, đặc biệt cho Dự án.</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19. Chính phủ ban hành Nghị định để quy định chi tiết nội dung, trình tự, thủ tục, thẩm quyền để triển khai các cơ chế, chính sách đặc thù, đặc biệt của Dự án.</w:t>
      </w:r>
    </w:p>
    <w:p w:rsidR="008A3626" w:rsidRPr="008A3626" w:rsidRDefault="008A3626" w:rsidP="008A3626">
      <w:pPr>
        <w:spacing w:after="0" w:line="390" w:lineRule="atLeast"/>
        <w:outlineLvl w:val="2"/>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Điều 4</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1. Chính phủ chịu trách nhiệm trước Quốc hội trong việc:</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a) Tổ chức thực hiện, quản lý đầu tư Dự án theo đúng Nghị quyết này và quy định của pháp luật có liên quan; bảo đảm Dự án đúng tiến độ, chất lượng;</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b) Quản lý, sử dụng vốn và các nguồn lực tiết kiệm, hiệu quả, phòng chống tham nhũng, lãng phí, tiêu cực; thông tin đầy đủ để người dân hiểu, đồng thuận về chủ trương đầu tư Dự án;</w:t>
      </w:r>
    </w:p>
    <w:p w:rsidR="008A3626" w:rsidRPr="008A3626" w:rsidRDefault="008A3626" w:rsidP="008A3626">
      <w:pPr>
        <w:spacing w:before="120" w:after="120" w:line="390" w:lineRule="atLeast"/>
        <w:rPr>
          <w:rFonts w:ascii="Times New Roman" w:eastAsia="Times New Roman" w:hAnsi="Times New Roman" w:cs="Times New Roman"/>
          <w:color w:val="152C4A"/>
          <w:sz w:val="28"/>
          <w:szCs w:val="28"/>
        </w:rPr>
      </w:pPr>
      <w:r w:rsidRPr="008A3626">
        <w:rPr>
          <w:rFonts w:ascii="Times New Roman" w:eastAsia="Times New Roman" w:hAnsi="Times New Roman" w:cs="Times New Roman"/>
          <w:color w:val="152C4A"/>
          <w:sz w:val="28"/>
          <w:szCs w:val="28"/>
        </w:rPr>
        <w:t>c) Chỉ đạo tổ chức việc quản lý, vận hành, khai thác, bảo trì bảo đảm an toàn, hiệu quả.</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2. Trong quá trình vận hành, khai thác, trên cơ sở đề xuất của các địa phương, Thủ tướng Chính phủ quyết định đầu tư bổ sung một số nhà ga tại các khu đô thị có nhu cầu vận tải lớn.</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3. Các địa phương, Tập đoàn Điện lực Việt Nam chịu trách nhiệm trước Chính phủ trong việc bảo đảm tiến độ, chất lượng công tác bồi thường, hỗ trợ, tái định cư và các tiểu dự án được giao tổ chức thực hiện.</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4. Tổ chức kiện toàn Ban quản lý dự án chuyên ngành bảo đảm đủ năng lực thực hiện quản lý đầu tư Dự án.</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5. Tổng công ty Đường sắt Việt Nam tiếp nhận quản lý, bảo trì kết cấu hạ tầng và tổ chức vận hành, khai thác; huy động các doanh nghiệp khác đầu tư phương tiện; tiếp tục tái cơ cấu, xây dựng mô hình quản lý, bảo trì kết cấu hạ tầng bảo đảm thống nhất, hiện đại, hiệu quả; tham gia phát triển công nghiệp đường sắt.</w:t>
      </w:r>
    </w:p>
    <w:p w:rsidR="008A3626" w:rsidRPr="008A3626" w:rsidRDefault="008A3626" w:rsidP="008A3626">
      <w:pPr>
        <w:spacing w:after="0" w:line="390" w:lineRule="atLeast"/>
        <w:outlineLvl w:val="2"/>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Điều 5</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1. Mặt trận Tổ quốc Việt Nam và các tổ chức thành viên của Mặt trận, trong phạm vi nhiệm vụ, quyền hạn của mình, có trách nhiệm tuyên truyền, vận động Nhân dân đồng thuận chủ trương đầu tư Dự án, giám sát việc thực hiện Dự án theo Nghị quyết này.</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2. Ủy ban Thường vụ Quốc hội, Ủy ban Kinh tế, Hội đồng Dân tộc, các Ủy ban khác của Quốc hội, Đoàn đại biểu Quốc hội, đại biểu Quốc hội, trong phạm vi nhiệm vụ, quyền hạn của mình, giám sát việc thực hiện Dự án theo Nghị quyết này.</w:t>
      </w:r>
    </w:p>
    <w:p w:rsidR="008A3626" w:rsidRPr="008A3626" w:rsidRDefault="008A3626" w:rsidP="008A3626">
      <w:pPr>
        <w:spacing w:before="120" w:after="120" w:line="390" w:lineRule="atLeast"/>
        <w:outlineLvl w:val="3"/>
        <w:rPr>
          <w:rFonts w:ascii="Times New Roman" w:eastAsia="Times New Roman" w:hAnsi="Times New Roman" w:cs="Times New Roman"/>
          <w:b/>
          <w:bCs/>
          <w:color w:val="152C4A"/>
          <w:sz w:val="28"/>
          <w:szCs w:val="28"/>
        </w:rPr>
      </w:pPr>
      <w:r w:rsidRPr="008A3626">
        <w:rPr>
          <w:rFonts w:ascii="Times New Roman" w:eastAsia="Times New Roman" w:hAnsi="Times New Roman" w:cs="Times New Roman"/>
          <w:b/>
          <w:bCs/>
          <w:color w:val="152C4A"/>
          <w:sz w:val="28"/>
          <w:szCs w:val="28"/>
        </w:rPr>
        <w:t>3. Kiểm toán nhà nước, trong phạm vi nhiệm vụ, quyề</w:t>
      </w:r>
      <w:r>
        <w:rPr>
          <w:rFonts w:ascii="Times New Roman" w:eastAsia="Times New Roman" w:hAnsi="Times New Roman" w:cs="Times New Roman"/>
          <w:b/>
          <w:bCs/>
          <w:color w:val="152C4A"/>
          <w:sz w:val="28"/>
          <w:szCs w:val="28"/>
        </w:rPr>
        <w:t>n hạn</w:t>
      </w:r>
    </w:p>
    <w:p w:rsidR="00FC3425" w:rsidRDefault="00FC3425"/>
    <w:sectPr w:rsidR="00FC3425" w:rsidSect="008A36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erriweather">
    <w:altName w:val="Times New Roman"/>
    <w:panose1 w:val="00000000000000000000"/>
    <w:charset w:val="00"/>
    <w:family w:val="roman"/>
    <w:notTrueType/>
    <w:pitch w:val="default"/>
  </w:font>
  <w:font w:name="SF Pro Display">
    <w:altName w:val="Times New Roman"/>
    <w:panose1 w:val="00000000000000000000"/>
    <w:charset w:val="00"/>
    <w:family w:val="roman"/>
    <w:notTrueType/>
    <w:pitch w:val="default"/>
  </w:font>
  <w:font w:name="Int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626"/>
    <w:rsid w:val="008A3626"/>
    <w:rsid w:val="00FC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36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A36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36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A36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62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A36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362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A3626"/>
    <w:rPr>
      <w:rFonts w:ascii="Times New Roman" w:eastAsia="Times New Roman" w:hAnsi="Times New Roman" w:cs="Times New Roman"/>
      <w:b/>
      <w:bCs/>
      <w:sz w:val="24"/>
      <w:szCs w:val="24"/>
    </w:rPr>
  </w:style>
  <w:style w:type="paragraph" w:customStyle="1" w:styleId="days">
    <w:name w:val="days"/>
    <w:basedOn w:val="Normal"/>
    <w:rsid w:val="008A36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3626"/>
    <w:rPr>
      <w:color w:val="0000FF"/>
      <w:u w:val="single"/>
    </w:rPr>
  </w:style>
  <w:style w:type="character" w:customStyle="1" w:styleId="player-duration">
    <w:name w:val="player-duration"/>
    <w:basedOn w:val="DefaultParagraphFont"/>
    <w:rsid w:val="008A3626"/>
  </w:style>
  <w:style w:type="character" w:styleId="Strong">
    <w:name w:val="Strong"/>
    <w:basedOn w:val="DefaultParagraphFont"/>
    <w:uiPriority w:val="22"/>
    <w:qFormat/>
    <w:rsid w:val="008A3626"/>
    <w:rPr>
      <w:b/>
      <w:bCs/>
    </w:rPr>
  </w:style>
  <w:style w:type="paragraph" w:styleId="NormalWeb">
    <w:name w:val="Normal (Web)"/>
    <w:basedOn w:val="Normal"/>
    <w:uiPriority w:val="99"/>
    <w:semiHidden/>
    <w:unhideWhenUsed/>
    <w:rsid w:val="008A36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36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36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A36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36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A36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62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A36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362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A3626"/>
    <w:rPr>
      <w:rFonts w:ascii="Times New Roman" w:eastAsia="Times New Roman" w:hAnsi="Times New Roman" w:cs="Times New Roman"/>
      <w:b/>
      <w:bCs/>
      <w:sz w:val="24"/>
      <w:szCs w:val="24"/>
    </w:rPr>
  </w:style>
  <w:style w:type="paragraph" w:customStyle="1" w:styleId="days">
    <w:name w:val="days"/>
    <w:basedOn w:val="Normal"/>
    <w:rsid w:val="008A36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3626"/>
    <w:rPr>
      <w:color w:val="0000FF"/>
      <w:u w:val="single"/>
    </w:rPr>
  </w:style>
  <w:style w:type="character" w:customStyle="1" w:styleId="player-duration">
    <w:name w:val="player-duration"/>
    <w:basedOn w:val="DefaultParagraphFont"/>
    <w:rsid w:val="008A3626"/>
  </w:style>
  <w:style w:type="character" w:styleId="Strong">
    <w:name w:val="Strong"/>
    <w:basedOn w:val="DefaultParagraphFont"/>
    <w:uiPriority w:val="22"/>
    <w:qFormat/>
    <w:rsid w:val="008A3626"/>
    <w:rPr>
      <w:b/>
      <w:bCs/>
    </w:rPr>
  </w:style>
  <w:style w:type="paragraph" w:styleId="NormalWeb">
    <w:name w:val="Normal (Web)"/>
    <w:basedOn w:val="Normal"/>
    <w:uiPriority w:val="99"/>
    <w:semiHidden/>
    <w:unhideWhenUsed/>
    <w:rsid w:val="008A36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36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517976">
      <w:bodyDiv w:val="1"/>
      <w:marLeft w:val="0"/>
      <w:marRight w:val="0"/>
      <w:marTop w:val="0"/>
      <w:marBottom w:val="0"/>
      <w:divBdr>
        <w:top w:val="none" w:sz="0" w:space="0" w:color="auto"/>
        <w:left w:val="none" w:sz="0" w:space="0" w:color="auto"/>
        <w:bottom w:val="none" w:sz="0" w:space="0" w:color="auto"/>
        <w:right w:val="none" w:sz="0" w:space="0" w:color="auto"/>
      </w:divBdr>
      <w:divsChild>
        <w:div w:id="1981498617">
          <w:marLeft w:val="0"/>
          <w:marRight w:val="0"/>
          <w:marTop w:val="0"/>
          <w:marBottom w:val="0"/>
          <w:divBdr>
            <w:top w:val="none" w:sz="0" w:space="0" w:color="auto"/>
            <w:left w:val="none" w:sz="0" w:space="0" w:color="auto"/>
            <w:bottom w:val="none" w:sz="0" w:space="0" w:color="auto"/>
            <w:right w:val="none" w:sz="0" w:space="0" w:color="auto"/>
          </w:divBdr>
        </w:div>
        <w:div w:id="245464107">
          <w:marLeft w:val="0"/>
          <w:marRight w:val="0"/>
          <w:marTop w:val="0"/>
          <w:marBottom w:val="240"/>
          <w:divBdr>
            <w:top w:val="none" w:sz="0" w:space="0" w:color="auto"/>
            <w:left w:val="none" w:sz="0" w:space="0" w:color="auto"/>
            <w:bottom w:val="none" w:sz="0" w:space="0" w:color="auto"/>
            <w:right w:val="none" w:sz="0" w:space="0" w:color="auto"/>
          </w:divBdr>
        </w:div>
        <w:div w:id="500892215">
          <w:marLeft w:val="0"/>
          <w:marRight w:val="0"/>
          <w:marTop w:val="0"/>
          <w:marBottom w:val="360"/>
          <w:divBdr>
            <w:top w:val="none" w:sz="0" w:space="0" w:color="auto"/>
            <w:left w:val="none" w:sz="0" w:space="0" w:color="auto"/>
            <w:bottom w:val="single" w:sz="6" w:space="18" w:color="EBEBEB"/>
            <w:right w:val="none" w:sz="0" w:space="0" w:color="auto"/>
          </w:divBdr>
          <w:divsChild>
            <w:div w:id="2044134786">
              <w:marLeft w:val="120"/>
              <w:marRight w:val="0"/>
              <w:marTop w:val="0"/>
              <w:marBottom w:val="0"/>
              <w:divBdr>
                <w:top w:val="none" w:sz="0" w:space="0" w:color="auto"/>
                <w:left w:val="none" w:sz="0" w:space="0" w:color="auto"/>
                <w:bottom w:val="none" w:sz="0" w:space="0" w:color="auto"/>
                <w:right w:val="none" w:sz="0" w:space="0" w:color="auto"/>
              </w:divBdr>
              <w:divsChild>
                <w:div w:id="937642386">
                  <w:marLeft w:val="0"/>
                  <w:marRight w:val="0"/>
                  <w:marTop w:val="0"/>
                  <w:marBottom w:val="0"/>
                  <w:divBdr>
                    <w:top w:val="none" w:sz="0" w:space="0" w:color="auto"/>
                    <w:left w:val="none" w:sz="0" w:space="0" w:color="auto"/>
                    <w:bottom w:val="none" w:sz="0" w:space="0" w:color="auto"/>
                    <w:right w:val="none" w:sz="0" w:space="0" w:color="auto"/>
                  </w:divBdr>
                  <w:divsChild>
                    <w:div w:id="8776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5200">
              <w:marLeft w:val="0"/>
              <w:marRight w:val="0"/>
              <w:marTop w:val="0"/>
              <w:marBottom w:val="0"/>
              <w:divBdr>
                <w:top w:val="none" w:sz="0" w:space="0" w:color="auto"/>
                <w:left w:val="none" w:sz="0" w:space="0" w:color="auto"/>
                <w:bottom w:val="none" w:sz="0" w:space="0" w:color="auto"/>
                <w:right w:val="none" w:sz="0" w:space="0" w:color="auto"/>
              </w:divBdr>
            </w:div>
          </w:divsChild>
        </w:div>
        <w:div w:id="1898053658">
          <w:marLeft w:val="0"/>
          <w:marRight w:val="0"/>
          <w:marTop w:val="0"/>
          <w:marBottom w:val="0"/>
          <w:divBdr>
            <w:top w:val="none" w:sz="0" w:space="0" w:color="auto"/>
            <w:left w:val="none" w:sz="0" w:space="0" w:color="auto"/>
            <w:bottom w:val="none" w:sz="0" w:space="0" w:color="auto"/>
            <w:right w:val="none" w:sz="0" w:space="0" w:color="auto"/>
          </w:divBdr>
          <w:divsChild>
            <w:div w:id="2145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2976</Words>
  <Characters>16964</Characters>
  <Application>Microsoft Office Word</Application>
  <DocSecurity>0</DocSecurity>
  <Lines>141</Lines>
  <Paragraphs>39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Nghị quyết số 172/2024/QH15 về chủ trương đầu tư Dự án đường sắt tốc độ cao Bắc-</vt:lpstr>
      <vt:lpstr>    NGHỊ QUYẾT</vt:lpstr>
      <vt:lpstr>    Về chủ trương đầu tư Dự án đường sắt tốc độ cao trên trục Bắc - Nam</vt:lpstr>
      <vt:lpstr>    QUỐC HỘI</vt:lpstr>
      <vt:lpstr>    QUYẾT NGHỊ:</vt:lpstr>
      <vt:lpstr>        Điều 1</vt:lpstr>
      <vt:lpstr>        Điều 2</vt:lpstr>
      <vt:lpstr>        Điều 3</vt:lpstr>
      <vt:lpstr>        Điều 4</vt:lpstr>
      <vt:lpstr>        Điều 5</vt:lpstr>
    </vt:vector>
  </TitlesOfParts>
  <Company/>
  <LinksUpToDate>false</LinksUpToDate>
  <CharactersWithSpaces>19901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GIANG</dc:creator>
  <cp:lastModifiedBy>HOANG GIANG</cp:lastModifiedBy>
  <cp:revision>1</cp:revision>
  <dcterms:created xsi:type="dcterms:W3CDTF">2025-01-20T07:03:00Z</dcterms:created>
  <dcterms:modified xsi:type="dcterms:W3CDTF">2025-01-20T07:05:00Z</dcterms:modified>
</cp:coreProperties>
</file>